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黑体" w:eastAsia="黑体"/>
          <w:sz w:val="44"/>
          <w:szCs w:val="44"/>
        </w:rPr>
        <w:t xml:space="preserve">       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</w:t>
      </w:r>
      <w:r>
        <w:rPr>
          <w:rFonts w:hint="eastAsia" w:ascii="黑体" w:eastAsia="黑体"/>
          <w:sz w:val="44"/>
          <w:szCs w:val="44"/>
        </w:rPr>
        <w:t xml:space="preserve"> </w:t>
      </w:r>
      <w:r>
        <w:rPr>
          <w:rFonts w:hint="eastAsia" w:ascii="宋体" w:hAnsi="宋体"/>
          <w:sz w:val="36"/>
          <w:szCs w:val="36"/>
        </w:rPr>
        <w:t>类别：A</w:t>
      </w:r>
    </w:p>
    <w:p>
      <w:pPr>
        <w:rPr>
          <w:rFonts w:hint="default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</w:rPr>
        <w:t>商洛市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文化和旅游局</w:t>
      </w: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签发人：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杨长江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58240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DzPkr0AAAAAIBAAAPAAAAAAAAAAEA&#10;IAAAACIAAABkcnMvZG93bnJldi54bWxQSwECFAAUAAAACACHTuJA4/jMFt4BAACkAwAADgAAAAAA&#10;AAABACAAAAAf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宋体" w:eastAsia="仿宋_GB2312"/>
          <w:sz w:val="32"/>
          <w:szCs w:val="32"/>
        </w:rPr>
        <w:t>旅函〔20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关于对市四届人大六次会议第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153号建议</w:t>
      </w:r>
    </w:p>
    <w:p>
      <w:pPr>
        <w:keepNext w:val="0"/>
        <w:keepLines w:val="0"/>
        <w:pageBreakBefore w:val="0"/>
        <w:widowControl w:val="0"/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的答复函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尊敬的李雪梅代表: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您提出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的《关于丰富农村文化活动的建议》已收悉，首先感谢你对文化和旅游事业的关心支持，现将我市丰富农村文化活动的工作情况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答复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如下。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6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近年来，在市委、市政府的统一领导和部署下，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坚持以弘扬和发展社会主义核心价值观为导向，加快构建现代公共文化服务体系，以丰富群众的文体活动、营造良好的文化氛围为目标，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公共文化服务体系建设进一步完善，基本公共文化服务向乡村延伸，大力实施文化惠民下乡活动，实施乡村文化人才培养工程，扶持农村非遗传承人、发展优秀戏曲曲艺、民间文化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扩大了乡村文化惠民工程覆盖面。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一是覆盖城乡的公共文化服务网络基本形成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“十三五”期间，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市已建成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个镇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（办）综合文化服务站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1118个村级文化活动室和165个社区文化活动中心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，覆盖市、县、镇和村的四级公共文化服务网络基本建成，挂牌率100%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文化信息资源共享工程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农家书屋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村级文化广场、文化器材配送实现全覆盖。文化基础设施建设的不断加强，为开展基层文化活动、丰富群众文化生活、更好地满足群众的文化需求提供了有力的保障，同时也起到了辐射带动作用。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坚持常态化开展文化惠民下乡活动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楷体"/>
          <w:b w:val="0"/>
          <w:bCs w:val="0"/>
          <w:color w:val="auto"/>
          <w:sz w:val="32"/>
          <w:szCs w:val="32"/>
          <w:lang w:eastAsia="zh-CN"/>
        </w:rPr>
        <w:t>落实公共文化服务标准</w:t>
      </w:r>
      <w:r>
        <w:rPr>
          <w:rFonts w:hint="eastAsia" w:ascii="仿宋" w:hAnsi="仿宋" w:eastAsia="仿宋" w:cs="楷体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楷体"/>
          <w:b w:val="0"/>
          <w:bCs w:val="0"/>
          <w:color w:val="auto"/>
          <w:sz w:val="32"/>
          <w:szCs w:val="32"/>
          <w:lang w:eastAsia="zh-CN"/>
        </w:rPr>
        <w:t>着眼人民群众需求，打造文化活动品牌，实施惠民工程，让人民群众享受更多文化实惠。大力推进群众文化活动品牌建设，群众文化活动品牌基本实现了“一县（区）一品牌、一镇（办）一特点、一村（社区）一亮点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结合乡土文化特色和群众实际文化需求，按照文化助力脱贫攻坚总要求，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组织开展“文化助力脱贫攻坚”系列主题活动，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贫困村开展“千台大戏送农村”、“精品剧目惠民演出”、“扶志扶智送书下乡”等常态化文艺宣传活动，制定印发了《商洛市戏曲进乡村实施方案》，各县区每年开展戏曲进乡村演出每个乡镇不少于6－8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全年送戏、送书、送文化下乡4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场次，惠及上万贫困群众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城乡群众文化氛围日渐浓厚，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基层群众对公共文化的获得感和幸福感不断增强。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三、基层文化阵地保障不断加强。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各镇（办）综合文化站、村（社区）综合文化活动中心全年免费开放，提供图书（报刊）借阅、绿色上网、科学技术及文艺培训等公共文化服务活动。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2009－2017年分批为贫困村村级文化活动室配送文化活动器材，2018－2020为562个贫困村文化活动室拨付购置文化活动器材专项资金，每个村按2万元核定；2011年至今，每年为各镇（办）文化站拨付免费开放经费5万元，村（社区）免费开放经费1万元。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为商州区配备电视机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42台，音响42台，爱奇艺VIP帐户179个，喜马拉雅有声图书馆57个，惠及179个镇、村基层文化服务中心。为群众开展经常性群众文化活动提供了有力保障，提高了专项资金使用效益。为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县(区)配送流动舞台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流动图书车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农村电影流动放映车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数字电影放映机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、建立电影放映补贴机制，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实现了每月每村放一场电影的目标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广播电视“户户通”工程，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广播综合人口覆盖率达94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58%，电视综合人口覆盖率达97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有效解决了边远山区群众听广播、看电视难的问题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四、基层文化服务队伍服务能力不断加强。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“派出去、请进来、送下去”的方式，多途径、多层面、多样化加强基层文艺人才队伍培训辅导，依托“三区”人才支持计划、“阳光工程”农村志愿者行动计划等，培养基层文艺骨干，不断加大文化志愿者招募工作力度，广泛开展文化助力脱贫攻坚活动，组织文化志愿者深入农村开展各类农民培训讲座，结成文化志愿者帮扶对子，受到广大群众的普遍欢迎。积极创建“三区”人才服务示范点，丹凤县资峪镇油房村、柞水县杏坪镇中学等一批“三区”人才服务示范点初步形成，均有相对固定的文化志愿服务工作队常年常态化服务。“三区”人才支持计划从2013年至今，共招募文化志愿者500余人，开展服务项目97个，参与人数476人，惠及群众百万余人次，培育的214个民间艺术团体，活跃在乡村社区，成为开展群众文化活动的中间力量。基层文化队伍不断壮大，服务能力不断增强，为推动县区公共文化发展提供了强有力的人才保障，进一步激发了工作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再次感谢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文化工作的关心支持，我们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进一步夯实基层基础，加强对镇村两级的政策倾斜和业务指导，组织开展丰富多彩的文体活动，增加人民群众更多的文化获得感。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商洛市文化和旅游局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2020年9月10日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6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5A5D"/>
    <w:rsid w:val="04385637"/>
    <w:rsid w:val="052F419A"/>
    <w:rsid w:val="09AA75DC"/>
    <w:rsid w:val="10C81CDB"/>
    <w:rsid w:val="11A117AE"/>
    <w:rsid w:val="15ED17DA"/>
    <w:rsid w:val="171E083C"/>
    <w:rsid w:val="1B596CC0"/>
    <w:rsid w:val="1C89699B"/>
    <w:rsid w:val="1E5F6C60"/>
    <w:rsid w:val="24F63EE0"/>
    <w:rsid w:val="282413E8"/>
    <w:rsid w:val="30B70B6B"/>
    <w:rsid w:val="32751CEF"/>
    <w:rsid w:val="33563B76"/>
    <w:rsid w:val="3B077002"/>
    <w:rsid w:val="3BC7110A"/>
    <w:rsid w:val="3DD879F8"/>
    <w:rsid w:val="3DF7462A"/>
    <w:rsid w:val="3F0D058D"/>
    <w:rsid w:val="44415D47"/>
    <w:rsid w:val="46FB25C6"/>
    <w:rsid w:val="4C3F0196"/>
    <w:rsid w:val="4EAB52C8"/>
    <w:rsid w:val="50AF77EA"/>
    <w:rsid w:val="50F31CED"/>
    <w:rsid w:val="51D34DE6"/>
    <w:rsid w:val="522E68F8"/>
    <w:rsid w:val="54A22890"/>
    <w:rsid w:val="564A6A48"/>
    <w:rsid w:val="56F11527"/>
    <w:rsid w:val="585946A4"/>
    <w:rsid w:val="58BF04C5"/>
    <w:rsid w:val="5A07107D"/>
    <w:rsid w:val="5AC45E9A"/>
    <w:rsid w:val="67CC3C15"/>
    <w:rsid w:val="685B315E"/>
    <w:rsid w:val="76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2020-09-07T23:33:00Z</dcterms:created>
  <dc:creator>Administrator</dc:creator>
  <cp:lastModifiedBy>浅浅。。。。</cp:lastModifiedBy>
  <cp:lastPrinted>2020-09-29T07:05:00Z</cp:lastPrinted>
  <dcterms:modified xsi:type="dcterms:W3CDTF">2020-10-30T06:20:34Z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