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bidi w:val="0"/>
        <w:rPr>
          <w:rFonts w:hint="default"/>
          <w:color w:val="auto"/>
          <w:highlight w:val="none"/>
          <w:lang w:val="en-US" w:eastAsia="zh-CN"/>
        </w:rPr>
      </w:pPr>
      <w:r>
        <w:rPr>
          <w:rFonts w:hint="eastAsia"/>
          <w:color w:val="auto"/>
          <w:highlight w:val="none"/>
          <w:lang w:val="en-US" w:eastAsia="zh-CN"/>
        </w:rPr>
        <w:t>商洛市自然资源局</w:t>
      </w:r>
    </w:p>
    <w:p>
      <w:pPr>
        <w:pStyle w:val="30"/>
        <w:bidi w:val="0"/>
        <w:rPr>
          <w:rFonts w:hint="eastAsia"/>
          <w:color w:val="auto"/>
          <w:highlight w:val="none"/>
        </w:rPr>
      </w:pPr>
      <w:r>
        <w:rPr>
          <w:rFonts w:hint="eastAsia"/>
          <w:color w:val="auto"/>
          <w:highlight w:val="none"/>
          <w:lang w:eastAsia="zh-CN"/>
        </w:rPr>
        <w:t>2022年</w:t>
      </w:r>
      <w:r>
        <w:rPr>
          <w:rFonts w:hint="eastAsia"/>
          <w:color w:val="auto"/>
          <w:highlight w:val="none"/>
        </w:rPr>
        <w:t>部门综合预算</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目  录</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第一部分   部门概况</w:t>
      </w:r>
    </w:p>
    <w:p>
      <w:pPr>
        <w:bidi w:val="0"/>
        <w:rPr>
          <w:rFonts w:hint="eastAsia"/>
        </w:rPr>
      </w:pPr>
    </w:p>
    <w:p>
      <w:pPr>
        <w:bidi w:val="0"/>
        <w:rPr>
          <w:rFonts w:hint="eastAsia"/>
        </w:rPr>
      </w:pPr>
      <w:r>
        <w:rPr>
          <w:rFonts w:hint="eastAsia"/>
        </w:rPr>
        <w:t>一、部门主要职责及机构设置</w:t>
      </w:r>
    </w:p>
    <w:p>
      <w:pPr>
        <w:bidi w:val="0"/>
        <w:rPr>
          <w:rFonts w:hint="eastAsia"/>
        </w:rPr>
      </w:pPr>
      <w:r>
        <w:rPr>
          <w:rFonts w:hint="eastAsia"/>
        </w:rPr>
        <w:t>二、</w:t>
      </w:r>
      <w:r>
        <w:rPr>
          <w:rFonts w:hint="eastAsia"/>
          <w:lang w:eastAsia="zh-CN"/>
        </w:rPr>
        <w:t>2022年</w:t>
      </w:r>
      <w:r>
        <w:rPr>
          <w:rFonts w:hint="eastAsia"/>
        </w:rPr>
        <w:t>部门工作任务</w:t>
      </w:r>
    </w:p>
    <w:p>
      <w:pPr>
        <w:bidi w:val="0"/>
        <w:rPr>
          <w:rFonts w:hint="eastAsia"/>
        </w:rPr>
      </w:pPr>
      <w:r>
        <w:rPr>
          <w:rFonts w:hint="eastAsia"/>
        </w:rPr>
        <w:t>三、部门预算单位构成</w:t>
      </w:r>
    </w:p>
    <w:p>
      <w:pPr>
        <w:bidi w:val="0"/>
        <w:rPr>
          <w:rFonts w:hint="eastAsia"/>
        </w:rPr>
      </w:pPr>
      <w:r>
        <w:rPr>
          <w:rFonts w:hint="eastAsia"/>
        </w:rPr>
        <w:t>四、部门人员情况说明</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第二部分   收支情况</w:t>
      </w:r>
    </w:p>
    <w:p>
      <w:pPr>
        <w:bidi w:val="0"/>
        <w:rPr>
          <w:rFonts w:hint="eastAsia"/>
        </w:rPr>
      </w:pPr>
    </w:p>
    <w:p>
      <w:pPr>
        <w:bidi w:val="0"/>
        <w:rPr>
          <w:rFonts w:hint="eastAsia"/>
        </w:rPr>
      </w:pPr>
      <w:r>
        <w:rPr>
          <w:rFonts w:hint="eastAsia"/>
        </w:rPr>
        <w:t>五、</w:t>
      </w:r>
      <w:r>
        <w:rPr>
          <w:rFonts w:hint="eastAsia"/>
          <w:lang w:eastAsia="zh-CN"/>
        </w:rPr>
        <w:t>2022年</w:t>
      </w:r>
      <w:r>
        <w:rPr>
          <w:rFonts w:hint="eastAsia"/>
        </w:rPr>
        <w:t>部门预算收支说明</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第三部分   其他说明情况</w:t>
      </w:r>
    </w:p>
    <w:p>
      <w:pPr>
        <w:bidi w:val="0"/>
        <w:rPr>
          <w:rFonts w:hint="eastAsia"/>
        </w:rPr>
      </w:pPr>
    </w:p>
    <w:p>
      <w:pPr>
        <w:bidi w:val="0"/>
        <w:rPr>
          <w:rFonts w:hint="eastAsia"/>
        </w:rPr>
      </w:pPr>
      <w:r>
        <w:rPr>
          <w:rFonts w:hint="eastAsia"/>
        </w:rPr>
        <w:t>六、部门预算“三公”经费等情况说明</w:t>
      </w:r>
    </w:p>
    <w:p>
      <w:pPr>
        <w:bidi w:val="0"/>
        <w:rPr>
          <w:rFonts w:hint="eastAsia"/>
        </w:rPr>
      </w:pPr>
      <w:r>
        <w:rPr>
          <w:rFonts w:hint="eastAsia"/>
        </w:rPr>
        <w:t>七、部门国有资产占有使用及资产购置情况说明</w:t>
      </w:r>
    </w:p>
    <w:p>
      <w:pPr>
        <w:bidi w:val="0"/>
        <w:rPr>
          <w:rFonts w:hint="eastAsia"/>
        </w:rPr>
      </w:pPr>
      <w:r>
        <w:rPr>
          <w:rFonts w:hint="eastAsia"/>
        </w:rPr>
        <w:t>八、部门政府采购情况说明</w:t>
      </w:r>
    </w:p>
    <w:p>
      <w:pPr>
        <w:bidi w:val="0"/>
        <w:rPr>
          <w:rFonts w:hint="eastAsia"/>
        </w:rPr>
      </w:pPr>
      <w:r>
        <w:rPr>
          <w:rFonts w:hint="eastAsia"/>
        </w:rPr>
        <w:t>九、部门预算绩效目标说明</w:t>
      </w:r>
    </w:p>
    <w:p>
      <w:pPr>
        <w:bidi w:val="0"/>
        <w:rPr>
          <w:rFonts w:hint="eastAsia"/>
        </w:rPr>
      </w:pPr>
      <w:r>
        <w:rPr>
          <w:rFonts w:hint="eastAsia"/>
        </w:rPr>
        <w:t>十、机关运行经费安排说明</w:t>
      </w:r>
    </w:p>
    <w:p>
      <w:pPr>
        <w:bidi w:val="0"/>
        <w:rPr>
          <w:rFonts w:hint="eastAsia"/>
        </w:rPr>
      </w:pPr>
      <w:r>
        <w:rPr>
          <w:rFonts w:hint="eastAsia"/>
        </w:rPr>
        <w:t>十一、专业名词解释</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第四部分   公开报表</w:t>
      </w:r>
    </w:p>
    <w:p>
      <w:pPr>
        <w:bidi w:val="0"/>
        <w:rPr>
          <w:rFonts w:hint="eastAsia"/>
        </w:rPr>
      </w:pPr>
    </w:p>
    <w:p>
      <w:pPr>
        <w:bidi w:val="0"/>
        <w:rPr>
          <w:rFonts w:hint="eastAsia"/>
        </w:rPr>
      </w:pPr>
      <w:r>
        <w:rPr>
          <w:rFonts w:hint="eastAsia"/>
        </w:rPr>
        <w:t>（具体部门预算公开报表）</w:t>
      </w:r>
    </w:p>
    <w:p>
      <w:pPr>
        <w:pStyle w:val="30"/>
        <w:bidi w:val="0"/>
        <w:rPr>
          <w:rFonts w:hint="eastAsia"/>
          <w:color w:val="auto"/>
          <w:highlight w:val="none"/>
          <w:lang w:val="en-US" w:eastAsia="zh-CN"/>
        </w:rPr>
      </w:pPr>
    </w:p>
    <w:p>
      <w:pPr>
        <w:pStyle w:val="30"/>
        <w:bidi w:val="0"/>
        <w:rPr>
          <w:rFonts w:hint="eastAsia"/>
          <w:color w:val="auto"/>
          <w:highlight w:val="none"/>
          <w:lang w:val="en-US" w:eastAsia="zh-CN"/>
        </w:rPr>
        <w:sectPr>
          <w:headerReference r:id="rId5" w:type="default"/>
          <w:footerReference r:id="rId7" w:type="default"/>
          <w:headerReference r:id="rId6" w:type="even"/>
          <w:footerReference r:id="rId8" w:type="even"/>
          <w:pgSz w:w="11906" w:h="16838"/>
          <w:pgMar w:top="2098" w:right="1474" w:bottom="1984" w:left="1587" w:header="850" w:footer="1587" w:gutter="0"/>
          <w:pgNumType w:fmt="numberInDash"/>
          <w:cols w:space="0" w:num="1"/>
          <w:rtlGutter w:val="0"/>
          <w:docGrid w:type="linesAndChars" w:linePitch="579" w:charSpace="-842"/>
        </w:sectPr>
      </w:pPr>
    </w:p>
    <w:p>
      <w:pPr>
        <w:pStyle w:val="30"/>
        <w:bidi w:val="0"/>
        <w:rPr>
          <w:rFonts w:hint="default"/>
          <w:lang w:val="en-US" w:eastAsia="zh-CN"/>
        </w:rPr>
      </w:pPr>
      <w:r>
        <w:rPr>
          <w:rFonts w:hint="eastAsia"/>
          <w:lang w:val="en-US" w:eastAsia="zh-CN"/>
        </w:rPr>
        <w:t>第一部分  部门概况</w:t>
      </w:r>
    </w:p>
    <w:p>
      <w:pPr>
        <w:adjustRightInd w:val="0"/>
        <w:snapToGrid w:val="0"/>
        <w:rPr>
          <w:rFonts w:hint="eastAsia" w:ascii="仿宋" w:hAnsi="仿宋" w:eastAsia="仿宋" w:cs="宋体"/>
          <w:color w:val="auto"/>
          <w:kern w:val="0"/>
          <w:sz w:val="36"/>
          <w:szCs w:val="36"/>
          <w:highlight w:val="none"/>
        </w:rPr>
      </w:pPr>
    </w:p>
    <w:p>
      <w:pPr>
        <w:pStyle w:val="2"/>
        <w:bidi w:val="0"/>
        <w:rPr>
          <w:rFonts w:hint="eastAsia"/>
          <w:color w:val="auto"/>
          <w:highlight w:val="none"/>
        </w:rPr>
      </w:pPr>
      <w:r>
        <w:rPr>
          <w:rFonts w:hint="eastAsia"/>
          <w:color w:val="auto"/>
          <w:highlight w:val="none"/>
        </w:rPr>
        <w:t>部门主要职责及机构设置</w:t>
      </w:r>
    </w:p>
    <w:p>
      <w:pPr>
        <w:pStyle w:val="3"/>
        <w:bidi w:val="0"/>
        <w:rPr>
          <w:rFonts w:hint="eastAsia"/>
          <w:color w:val="auto"/>
          <w:highlight w:val="none"/>
        </w:rPr>
      </w:pPr>
      <w:r>
        <w:rPr>
          <w:rFonts w:hint="eastAsia"/>
          <w:color w:val="auto"/>
          <w:highlight w:val="none"/>
          <w:lang w:val="en-US" w:eastAsia="zh-CN"/>
        </w:rPr>
        <w:t>部门主要职责</w:t>
      </w:r>
    </w:p>
    <w:p>
      <w:pPr>
        <w:bidi w:val="0"/>
      </w:pPr>
      <w:r>
        <w:rPr>
          <w:rFonts w:hint="eastAsia"/>
          <w:lang w:val="en-US" w:eastAsia="zh-CN"/>
        </w:rPr>
        <w:t>(1)贯彻执行有关自然资源和国土空间规划及测绘等法律法规规章、标准规范规程、战略规划政策，履行全民所有土地、矿产、森林、草原、湿地、水等自然资源资产所有者职责和所有国土空间用途管制职责；编制全市自然资源和国土空间规划，建立全市自然资源和国土空间规划等标准体系、规范规程并监督检查执行情况。</w:t>
      </w:r>
    </w:p>
    <w:p>
      <w:pPr>
        <w:bidi w:val="0"/>
      </w:pPr>
      <w:r>
        <w:rPr>
          <w:rFonts w:hint="eastAsia"/>
          <w:lang w:val="en-US" w:eastAsia="zh-CN"/>
        </w:rPr>
        <w:t>(2)贯彻落实自然资源调查监测评价的指标体系和统计标准，执行自然资源调查监测评价制度；负责自然资源调查监测评价，实施自然资源基础调查、专项调查和监测；负责自然资源调查监测评价成果的监督管理和信息发布；指导各县自然资源调查监测评价工作；负责全市测绘地理信息管理工作。</w:t>
      </w:r>
    </w:p>
    <w:p>
      <w:pPr>
        <w:bidi w:val="0"/>
      </w:pPr>
      <w:r>
        <w:rPr>
          <w:rFonts w:hint="eastAsia"/>
          <w:lang w:val="en-US" w:eastAsia="zh-CN"/>
        </w:rPr>
        <w:t>(3)拟订全市各类自然资源和不动产统一确权登记、权籍调查、不动产测绘、争议调处、成果应用的制度、标准、规范；负责自然资源统一确权登记工作；建立健全全市自然资源和不动产登记信息管理基础平台；负责全市自然资源和不动产登记资料收集、整理、共享、汇交管理等工作；负责市本级和市辖区各类自然资源和不动产确权登记工作；指导各县自然资源和不动产确权登记工作。</w:t>
      </w:r>
    </w:p>
    <w:p>
      <w:pPr>
        <w:bidi w:val="0"/>
      </w:pPr>
      <w:r>
        <w:rPr>
          <w:rFonts w:hint="eastAsia"/>
          <w:lang w:val="en-US" w:eastAsia="zh-CN"/>
        </w:rPr>
        <w:t>(4)负责自然资源资产有偿使用工作；落实全民所有自然资源资产统计制度，负责全民所有自然资源资产预算；编制全民所有自然资源资产负债表，拟订考核标准；执行全民所有自然资源资产划拨、出让、租赁、作价出资和土地储备政策，合理配置全民所有自然资源资产；负责自然资源资产价值评估管理，依法收缴相关资产收益。</w:t>
      </w:r>
    </w:p>
    <w:p>
      <w:pPr>
        <w:bidi w:val="0"/>
      </w:pPr>
      <w:r>
        <w:rPr>
          <w:rFonts w:hint="eastAsia"/>
          <w:lang w:val="en-US" w:eastAsia="zh-CN"/>
        </w:rPr>
        <w:t>(5)负责自然资源的合理开发利用；拟订全市自然资源发展规划和自然资源开发利用标准并组织实施，建立政府公示自然资源价格体系，组织开展自然资源分等定级价格评估，开展自然资源利用评价考核，指导节约集约利用；负责自然资源市场监管；开展自然资源管理涉及宏观调控、区域协调和城乡统筹的政策措施的调查研究。</w:t>
      </w:r>
    </w:p>
    <w:p>
      <w:pPr>
        <w:bidi w:val="0"/>
      </w:pPr>
      <w:r>
        <w:rPr>
          <w:rFonts w:hint="eastAsia"/>
          <w:lang w:val="en-US" w:eastAsia="zh-CN"/>
        </w:rPr>
        <w:t>(6)负责建立空间规划体系并监督实施；推进全市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负责城乡规划的监督管理工作；组织拟订并实施土地等自然资源年度利用计划；负责土地等国土空间用途转用工作；组织编制城市规划，负责城市规划区内建设规划的监督管理工作，开展城市规划区内建设工程执行规划要求情况的监督检查；负责全市土地征收征用管理工作，承担商州区行政区域内建设项目用地的征收征用工作。</w:t>
      </w:r>
    </w:p>
    <w:p>
      <w:pPr>
        <w:bidi w:val="0"/>
      </w:pPr>
      <w:r>
        <w:rPr>
          <w:rFonts w:hint="eastAsia"/>
          <w:lang w:val="en-US" w:eastAsia="zh-CN"/>
        </w:rPr>
        <w:t>(7)负责统筹国土空间生态修复；牵头组织编制全市国土空间生态修复规划并实施有关生态修复重大工程；负责国土空间综合整治、土地整理复垦、矿山地质环境恢复治理等工作；牵头建立和实施生态保护补偿制度，拟订合理利用社会资金进行生态修复的政策措施，提出重大备选项目的建议。</w:t>
      </w:r>
    </w:p>
    <w:p>
      <w:pPr>
        <w:bidi w:val="0"/>
      </w:pPr>
      <w:r>
        <w:rPr>
          <w:rFonts w:hint="eastAsia"/>
          <w:lang w:val="en-US" w:eastAsia="zh-CN"/>
        </w:rPr>
        <w:t>(8)贯彻执行国家有关耕地保护政策，牵头拟订全市耕地保护规范性文件，负责耕地数量、质量、生态保护，组织实施最严格的耕地保护制度；组织实施耕地保护责任目标考核和永久基本农田特殊保护；完善全市耕地占补平衡制度，监督占用耕地补偿制度执行情况。</w:t>
      </w:r>
    </w:p>
    <w:p>
      <w:pPr>
        <w:bidi w:val="0"/>
      </w:pPr>
      <w:r>
        <w:rPr>
          <w:rFonts w:hint="eastAsia"/>
          <w:lang w:val="en-US" w:eastAsia="zh-CN"/>
        </w:rPr>
        <w:t>(9)负责落实综合防灾减灾规划相关要求，组织编制全市地质灾害防治规划和防护标准并负责实施；负责地质灾害预防；负责和监督地质灾害调查评价及隐患的普查、详查、排查，监督管理地下水过量开采及引发的地面沉降等地质问题；负责开展地质灾害群测群防、专业监测、预报预警；负责地质灾害工程治理工作；承担地质灾害应急救援及技术支撑工作。</w:t>
      </w:r>
    </w:p>
    <w:p>
      <w:pPr>
        <w:bidi w:val="0"/>
      </w:pPr>
      <w:r>
        <w:rPr>
          <w:rFonts w:hint="eastAsia"/>
          <w:lang w:val="en-US" w:eastAsia="zh-CN"/>
        </w:rPr>
        <w:t>(10)负责全市矿产资源管理工作；负责管理全市矿产资源勘查工作；负责编制矿产资源总体规划并监督检查执行情况；负责矿产资源储量管理；负责矿业权管理；会同有关部门承担保护性开采的特定矿种、优势矿产的调控及相关管理工作；监督指导矿产资源合理利用和保护；负责全市古生物化石的监督管理工作；配合做好矿产资源有关行业安全生产工作。</w:t>
      </w:r>
    </w:p>
    <w:p>
      <w:pPr>
        <w:bidi w:val="0"/>
      </w:pPr>
      <w:r>
        <w:rPr>
          <w:rFonts w:hint="eastAsia"/>
          <w:lang w:val="en-US" w:eastAsia="zh-CN"/>
        </w:rPr>
        <w:t>(11)拟订全市自然资源领域科技创新发展和人才培养规划、计划并组织实施，推动自然资源领域科技发展；组织实施重大科技工程和创新能力建设，推进自然资源信息化和信息资料的公共服务；组织开展自然资源领域对外交流合作，参与处理涉外自然资源事务。</w:t>
      </w:r>
    </w:p>
    <w:p>
      <w:pPr>
        <w:bidi w:val="0"/>
      </w:pPr>
      <w:r>
        <w:rPr>
          <w:rFonts w:hint="eastAsia"/>
          <w:lang w:val="en-US" w:eastAsia="zh-CN"/>
        </w:rPr>
        <w:t>(12)根据授权，对各县（区）政府落实中、省、市有关自然资源和国土空间规划的方针政策、决策部署及法律法规执行情况进行督察；负责查处自然资源开发利用和国土空间规划等违法案件；指导各县自然资源行政执法工作。</w:t>
      </w:r>
    </w:p>
    <w:p>
      <w:pPr>
        <w:bidi w:val="0"/>
      </w:pPr>
      <w:r>
        <w:rPr>
          <w:rFonts w:hint="eastAsia"/>
          <w:lang w:val="en-US" w:eastAsia="zh-CN"/>
        </w:rPr>
        <w:t>(13)负责全市移民（脱贫）搬迁工作；统一领导和管理市林业局。</w:t>
      </w:r>
    </w:p>
    <w:p>
      <w:pPr>
        <w:bidi w:val="0"/>
      </w:pPr>
      <w:r>
        <w:rPr>
          <w:rFonts w:hint="eastAsia"/>
          <w:lang w:val="en-US" w:eastAsia="zh-CN"/>
        </w:rPr>
        <w:t>(14)完成市委、市政府和省自然资源厅交办的其他任务。</w:t>
      </w:r>
    </w:p>
    <w:p>
      <w:pPr>
        <w:pStyle w:val="3"/>
        <w:bidi w:val="0"/>
        <w:rPr>
          <w:rFonts w:hint="eastAsia"/>
          <w:color w:val="auto"/>
          <w:highlight w:val="none"/>
        </w:rPr>
      </w:pPr>
      <w:r>
        <w:rPr>
          <w:rFonts w:hint="eastAsia"/>
          <w:color w:val="auto"/>
          <w:highlight w:val="none"/>
          <w:lang w:val="en-US" w:eastAsia="zh-CN"/>
        </w:rPr>
        <w:t>机构设置情况</w:t>
      </w:r>
    </w:p>
    <w:p>
      <w:pPr>
        <w:bidi w:val="0"/>
        <w:rPr>
          <w:rFonts w:hint="eastAsia"/>
          <w:lang w:val="en-US" w:eastAsia="zh-CN"/>
        </w:rPr>
      </w:pPr>
      <w:r>
        <w:rPr>
          <w:rFonts w:hint="eastAsia"/>
          <w:lang w:val="en-US" w:eastAsia="zh-CN"/>
        </w:rPr>
        <w:t>(1)内设13个正科级机构：党政办公室、政策法规科、国土空间规划科、国土空间用途管制科、建设工程规划监管科、自然资源调查监测科、自然资源确权登记科、自然资源开发利用科、耕地保护科、矿产资源管理科、生态修复科、财务和资金运用科、人事教育科。</w:t>
      </w:r>
    </w:p>
    <w:p>
      <w:pPr>
        <w:bidi w:val="0"/>
        <w:rPr>
          <w:rFonts w:hint="default"/>
          <w:lang w:val="en-US" w:eastAsia="zh-CN"/>
        </w:rPr>
      </w:pPr>
      <w:r>
        <w:rPr>
          <w:rFonts w:hint="eastAsia"/>
          <w:lang w:val="en-US" w:eastAsia="zh-CN"/>
        </w:rPr>
        <w:t>(2)所属1家行政单位：商洛市自然资源局商州分局；15家事业单位：商洛市土地收购储备中心、商洛市自然资源执法监察支队、商洛市统一征地办公室、商洛市移民（脱贫）搬迁工作办公室、商洛市土地开发复垦整理中心、商洛市地质环境监测中心站、商洛市自然资源局商州分局土地收购储备中心、商洛市自然资源局商州分局土地整治中心、商洛市自然资源局商州分局地质环境监测站、商洛市自然资源局商州分局规划站、商洛市不动产登记中心、商洛市自然资源勘测设计院、商洛市城市展示馆、商洛市自然资源局高新区（商丹园区）分局。</w:t>
      </w:r>
    </w:p>
    <w:p>
      <w:pPr>
        <w:pStyle w:val="2"/>
        <w:bidi w:val="0"/>
        <w:rPr>
          <w:rFonts w:hint="eastAsia"/>
          <w:color w:val="auto"/>
          <w:highlight w:val="none"/>
        </w:rPr>
      </w:pPr>
      <w:r>
        <w:rPr>
          <w:rFonts w:hint="eastAsia"/>
          <w:color w:val="auto"/>
          <w:highlight w:val="none"/>
          <w:lang w:eastAsia="zh-CN"/>
        </w:rPr>
        <w:t>2022年</w:t>
      </w:r>
      <w:r>
        <w:rPr>
          <w:rFonts w:hint="eastAsia"/>
          <w:color w:val="auto"/>
          <w:highlight w:val="none"/>
        </w:rPr>
        <w:t>部门工作任务</w:t>
      </w:r>
    </w:p>
    <w:p>
      <w:pPr>
        <w:bidi w:val="0"/>
        <w:rPr>
          <w:rFonts w:hint="eastAsia"/>
          <w:lang w:val="en-US" w:eastAsia="zh-CN"/>
        </w:rPr>
      </w:pPr>
      <w:r>
        <w:rPr>
          <w:rFonts w:hint="eastAsia"/>
          <w:lang w:val="en-US" w:eastAsia="zh-CN"/>
        </w:rPr>
        <w:t>2022年，是实现“十四五”规划目标的重要之年，也是实现资源资源事业新跨越、建设美好商洛的奋进之年。市自然资源局将坚持以党的十九届六中全会精神为指导，紧扣市委市政府“一都四区”战略部署和中心工作任务，落实新发展理念，融入新发展格局，切实做好国土空间规划、用途管制、资保护源、要素支撑和服务保障等工作，努力为全市经济高质量发展做贡献。</w:t>
      </w:r>
    </w:p>
    <w:p>
      <w:pPr>
        <w:bidi w:val="0"/>
        <w:rPr>
          <w:rFonts w:hint="eastAsia"/>
          <w:lang w:val="en-US" w:eastAsia="zh-CN"/>
        </w:rPr>
      </w:pPr>
      <w:r>
        <w:rPr>
          <w:rFonts w:hint="eastAsia"/>
          <w:b/>
          <w:bCs/>
          <w:lang w:val="en-US" w:eastAsia="zh-CN"/>
        </w:rPr>
        <w:t>（一）深化提升自然资源党建品牌。</w:t>
      </w:r>
      <w:r>
        <w:rPr>
          <w:rFonts w:hint="eastAsia"/>
          <w:lang w:val="en-US" w:eastAsia="zh-CN"/>
        </w:rPr>
        <w:t>始终以党的政治建设为统领，以习近平新时代中国特色社会主义思想为指引，深入开展党史国史、形势政策等方面的教育，筑牢党员干部高举旗帜、忠诚使命的思想根基，持续巩固党史学习教育教育成果，把党的十九大、十九届五中、六中全会精神转化为解决问题、指导自然资源事业创新发展的生动实践。</w:t>
      </w:r>
      <w:r>
        <w:rPr>
          <w:rFonts w:hint="eastAsia"/>
        </w:rPr>
        <w:t>以巩固模范机关为主线，</w:t>
      </w:r>
      <w:r>
        <w:rPr>
          <w:rFonts w:hint="eastAsia"/>
          <w:lang w:eastAsia="zh-CN"/>
        </w:rPr>
        <w:t>扎实</w:t>
      </w:r>
      <w:r>
        <w:rPr>
          <w:rFonts w:hint="eastAsia"/>
        </w:rPr>
        <w:t>推进省级文明单位创建，着力解决党建工作薄弱环节，深化“双报到”工作机制，深化“党员+”融合教育，</w:t>
      </w:r>
      <w:r>
        <w:rPr>
          <w:rFonts w:hint="eastAsia"/>
          <w:lang w:val="en-US" w:eastAsia="zh-CN"/>
        </w:rPr>
        <w:t>充分运用“三项机制”、职级并行等政策机制，树牢正确用人导向，激发党员干部队伍干事创业活力。</w:t>
      </w:r>
    </w:p>
    <w:p>
      <w:pPr>
        <w:bidi w:val="0"/>
        <w:rPr>
          <w:rFonts w:hint="eastAsia"/>
          <w:lang w:val="en-US" w:eastAsia="zh-CN"/>
        </w:rPr>
      </w:pPr>
      <w:r>
        <w:rPr>
          <w:rFonts w:hint="eastAsia"/>
          <w:b/>
          <w:bCs/>
          <w:lang w:val="en-US" w:eastAsia="zh-CN"/>
        </w:rPr>
        <w:t>（二）抓实“争一流、夺红旗”活动。</w:t>
      </w:r>
      <w:r>
        <w:rPr>
          <w:rFonts w:hint="eastAsia"/>
          <w:lang w:val="en-US" w:eastAsia="zh-CN"/>
        </w:rPr>
        <w:t>全力抓好金凤山康养新区、李塬片区和商州杨斜镇郭安沟建筑机制砂用花岗岩矿开发等三个牵头负责项目建设。争取</w:t>
      </w:r>
      <w:r>
        <w:rPr>
          <w:rFonts w:hint="default"/>
          <w:lang w:val="en-US" w:eastAsia="zh-CN"/>
        </w:rPr>
        <w:t>2022年度地灾综合防治体系建设中省财政资金5000万元</w:t>
      </w:r>
      <w:r>
        <w:rPr>
          <w:rFonts w:hint="eastAsia"/>
          <w:lang w:val="en-US" w:eastAsia="zh-CN"/>
        </w:rPr>
        <w:t>，省级勘查基金1000万元。争取</w:t>
      </w:r>
      <w:r>
        <w:rPr>
          <w:rFonts w:hint="default"/>
          <w:lang w:val="en-US" w:eastAsia="zh-CN"/>
        </w:rPr>
        <w:t>3个历史遗留矿山生态修复项目</w:t>
      </w:r>
      <w:r>
        <w:rPr>
          <w:rFonts w:hint="eastAsia"/>
          <w:lang w:val="en-US" w:eastAsia="zh-CN"/>
        </w:rPr>
        <w:t>和市卫星遥感大数据中心建设项目顺利实施，全年交易增减挂钩指标1500亩。力争全省“田长制”现场观摩会和全省林权确权登记工作现场推进会在我市召开。</w:t>
      </w:r>
    </w:p>
    <w:p>
      <w:pPr>
        <w:bidi w:val="0"/>
        <w:rPr>
          <w:rFonts w:hint="eastAsia"/>
        </w:rPr>
      </w:pPr>
      <w:r>
        <w:rPr>
          <w:rFonts w:hint="eastAsia"/>
          <w:b/>
          <w:bCs/>
          <w:lang w:val="en-US" w:eastAsia="zh-CN"/>
        </w:rPr>
        <w:t>（三）做实做优自然资源要素保障。</w:t>
      </w:r>
      <w:r>
        <w:rPr>
          <w:rFonts w:hint="eastAsia"/>
          <w:lang w:val="en-US" w:eastAsia="zh-CN"/>
        </w:rPr>
        <w:t>对照2022年全市重点项目清单，逐一梳理分析用地情况，按照项目级别、涉及的社会影响等情况进行区分，有保有压分别保障。加大</w:t>
      </w:r>
      <w:r>
        <w:rPr>
          <w:rFonts w:hint="eastAsia"/>
          <w:lang w:eastAsia="zh-CN"/>
        </w:rPr>
        <w:t>西十、西康高铁和丹宁、洛卢高速</w:t>
      </w:r>
      <w:r>
        <w:rPr>
          <w:rFonts w:hint="eastAsia"/>
          <w:lang w:val="en-US" w:eastAsia="zh-CN"/>
        </w:rPr>
        <w:t>等国家级重大项目控制性工程先行用地报批力度</w:t>
      </w:r>
      <w:r>
        <w:rPr>
          <w:rFonts w:hint="eastAsia"/>
          <w:lang w:eastAsia="zh-CN"/>
        </w:rPr>
        <w:t>，做好自然资源部门牵头负责的“双十”项目推进实施，</w:t>
      </w:r>
      <w:r>
        <w:rPr>
          <w:rFonts w:hint="eastAsia"/>
          <w:lang w:val="en-US" w:eastAsia="zh-CN"/>
        </w:rPr>
        <w:t>加快推进中心城市规划区17个地块土地征收，年内市本级储备土地21宗2124.3亩</w:t>
      </w:r>
      <w:r>
        <w:rPr>
          <w:rFonts w:hint="eastAsia"/>
        </w:rPr>
        <w:t>。</w:t>
      </w:r>
    </w:p>
    <w:p>
      <w:pPr>
        <w:bidi w:val="0"/>
        <w:rPr>
          <w:rFonts w:hint="eastAsia"/>
          <w:lang w:val="en-US" w:eastAsia="zh-CN"/>
        </w:rPr>
      </w:pPr>
      <w:r>
        <w:rPr>
          <w:rFonts w:hint="eastAsia"/>
          <w:b/>
          <w:bCs/>
          <w:lang w:val="en-US" w:eastAsia="zh-CN"/>
        </w:rPr>
        <w:t>（四）持续加强国土空间用途管制。</w:t>
      </w:r>
      <w:r>
        <w:rPr>
          <w:rFonts w:hint="eastAsia"/>
          <w:lang w:eastAsia="zh-CN"/>
        </w:rPr>
        <w:t>高质量完成市级国土空间规划编制，指导县区</w:t>
      </w:r>
      <w:r>
        <w:rPr>
          <w:rFonts w:hint="eastAsia"/>
          <w:lang w:val="en-US" w:eastAsia="zh-CN"/>
        </w:rPr>
        <w:t>按时</w:t>
      </w:r>
      <w:r>
        <w:rPr>
          <w:rFonts w:hint="eastAsia"/>
          <w:lang w:eastAsia="zh-CN"/>
        </w:rPr>
        <w:t>开展县级、镇级国土空间规划编制工作，完成南秦片区、西关片区与东街片区、</w:t>
      </w:r>
      <w:r>
        <w:rPr>
          <w:rFonts w:hint="eastAsia"/>
          <w:lang w:val="en-US" w:eastAsia="zh-CN"/>
        </w:rPr>
        <w:t>北新街东延片区</w:t>
      </w:r>
      <w:r>
        <w:rPr>
          <w:rFonts w:hint="eastAsia"/>
          <w:lang w:eastAsia="zh-CN"/>
        </w:rPr>
        <w:t>、</w:t>
      </w:r>
      <w:r>
        <w:rPr>
          <w:rFonts w:hint="eastAsia"/>
          <w:lang w:val="en-US" w:eastAsia="zh-CN"/>
        </w:rPr>
        <w:t>丹南片区</w:t>
      </w:r>
      <w:r>
        <w:rPr>
          <w:rFonts w:hint="eastAsia"/>
          <w:lang w:eastAsia="zh-CN"/>
        </w:rPr>
        <w:t>控制性详细规划报批。</w:t>
      </w:r>
      <w:r>
        <w:rPr>
          <w:rFonts w:hint="eastAsia"/>
          <w:lang w:val="en-US" w:eastAsia="zh-CN"/>
        </w:rPr>
        <w:t>依法做好报建项目各项技术指标审查和“五线”管控，按程序和规定核发建设工程规划许可证，做好项目规划核实及放（验）线，保障规划实施科学有效。</w:t>
      </w:r>
    </w:p>
    <w:p>
      <w:pPr>
        <w:bidi w:val="0"/>
        <w:rPr>
          <w:rFonts w:hint="eastAsia"/>
          <w:lang w:val="en-US" w:eastAsia="zh-CN"/>
        </w:rPr>
      </w:pPr>
      <w:r>
        <w:rPr>
          <w:rFonts w:hint="eastAsia"/>
          <w:b/>
          <w:bCs/>
          <w:lang w:val="en-US" w:eastAsia="zh-CN"/>
        </w:rPr>
        <w:t>（五）切实加强耕地保护工作举措。</w:t>
      </w:r>
      <w:r>
        <w:rPr>
          <w:rFonts w:hint="eastAsia"/>
          <w:lang w:val="en-US" w:eastAsia="zh-CN"/>
        </w:rPr>
        <w:t>实施“人盯人”+耕地保护，制定出台《商洛市耕地“非农化”整治具体措施》，健全“横向到边、纵向到底”的基本农田保护网络，实现基本农田保护责任全覆盖。扎实做好增减挂钩和占补平衡项目，深入挖潜，确保占补指标在市域范围内落实。在</w:t>
      </w:r>
      <w:r>
        <w:rPr>
          <w:rFonts w:hint="eastAsia"/>
          <w:lang w:eastAsia="zh-CN"/>
        </w:rPr>
        <w:t>抓好洛南县全域土地</w:t>
      </w:r>
      <w:r>
        <w:rPr>
          <w:rFonts w:hint="eastAsia"/>
          <w:lang w:val="en-US" w:eastAsia="zh-CN"/>
        </w:rPr>
        <w:t>综合整治试点工作基础上，力争镇安、商南、丹凤、山阳4县上报项目纳入2022年试点，推动全域土地综合整治工作有序开展。</w:t>
      </w:r>
    </w:p>
    <w:p>
      <w:pPr>
        <w:bidi w:val="0"/>
        <w:rPr>
          <w:rFonts w:hint="eastAsia"/>
          <w:lang w:val="en-US" w:eastAsia="zh-CN"/>
        </w:rPr>
      </w:pPr>
      <w:r>
        <w:rPr>
          <w:rFonts w:hint="eastAsia"/>
          <w:b/>
          <w:bCs/>
          <w:lang w:val="en-US" w:eastAsia="zh-CN"/>
        </w:rPr>
        <w:t>（六）全面提升集约节约用地水平。</w:t>
      </w:r>
      <w:r>
        <w:rPr>
          <w:rFonts w:hint="eastAsia"/>
          <w:lang w:val="en-US" w:eastAsia="zh-CN"/>
        </w:rPr>
        <w:t>探索和完善国有土地资源要素化配置，抓好山阳“标准地”试点工作。坚持“亩均论英雄”导向，继续开展单位GDP消耗建设用地下降率测算评比，大力开展产业园区建设用地节约集约评价工作，推进工业园区标准化厂房建设，每年新增工业用地中标准化厂房用地不少于30%。加大批而未供和闲置土地处置工作力度，年度消化批而未供土地3800亩，闲置土地200亩。</w:t>
      </w:r>
    </w:p>
    <w:p>
      <w:pPr>
        <w:bidi w:val="0"/>
        <w:rPr>
          <w:rFonts w:hint="default"/>
          <w:lang w:val="en-US" w:eastAsia="zh-CN"/>
        </w:rPr>
      </w:pPr>
      <w:r>
        <w:rPr>
          <w:rFonts w:hint="eastAsia"/>
          <w:b/>
          <w:bCs/>
          <w:lang w:val="en-US" w:eastAsia="zh-CN"/>
        </w:rPr>
        <w:t>（七）严格规范</w:t>
      </w:r>
      <w:r>
        <w:rPr>
          <w:rFonts w:hint="eastAsia"/>
          <w:b/>
          <w:bCs/>
        </w:rPr>
        <w:t>矿产资源</w:t>
      </w:r>
      <w:r>
        <w:rPr>
          <w:rFonts w:hint="eastAsia"/>
          <w:b/>
          <w:bCs/>
          <w:lang w:eastAsia="zh-CN"/>
        </w:rPr>
        <w:t>开发</w:t>
      </w:r>
      <w:r>
        <w:rPr>
          <w:rFonts w:hint="eastAsia"/>
          <w:b/>
          <w:bCs/>
        </w:rPr>
        <w:t>管理</w:t>
      </w:r>
      <w:r>
        <w:rPr>
          <w:rFonts w:hint="eastAsia"/>
          <w:b/>
          <w:bCs/>
          <w:lang w:eastAsia="zh-CN"/>
        </w:rPr>
        <w:t>。</w:t>
      </w:r>
      <w:r>
        <w:rPr>
          <w:rFonts w:hint="eastAsia"/>
          <w:lang w:val="en-US" w:eastAsia="zh-CN"/>
        </w:rPr>
        <w:t>扎实推进矿业发展“五化”建设，加大山阳五洲公司钒矿整合力度，做好丹凤石墨矿改造升级，推进柞水800万吨菱铁矿和镇安钨钼产业园建设，全面提升矿产资源开发规模，保留或整合后的矿山开采全部达到“中型+”以上。制定</w:t>
      </w:r>
      <w:r>
        <w:rPr>
          <w:rFonts w:hint="eastAsia"/>
          <w:lang w:eastAsia="zh-CN"/>
        </w:rPr>
        <w:t>出台《商洛市绿色矿山建设标准》，</w:t>
      </w:r>
      <w:r>
        <w:rPr>
          <w:rFonts w:hint="eastAsia"/>
          <w:lang w:val="en-US" w:eastAsia="zh-CN"/>
        </w:rPr>
        <w:t>建立市级绿色矿山项目库，培育市级绿色矿山14个、省级绿色矿山7个。加快推进全市秦岭核心保护区</w:t>
      </w:r>
      <w:r>
        <w:rPr>
          <w:rFonts w:hint="eastAsia"/>
        </w:rPr>
        <w:t>重点保护区退出矿业权</w:t>
      </w:r>
      <w:r>
        <w:rPr>
          <w:rFonts w:hint="eastAsia"/>
          <w:lang w:val="en-US" w:eastAsia="zh-CN"/>
        </w:rPr>
        <w:t>补偿和矿山地质环境恢复治理，</w:t>
      </w:r>
      <w:r>
        <w:rPr>
          <w:rFonts w:hint="eastAsia"/>
        </w:rPr>
        <w:t>争取省级勘查基金项目资金</w:t>
      </w:r>
      <w:r>
        <w:rPr>
          <w:rFonts w:hint="eastAsia"/>
          <w:lang w:val="en-US"/>
        </w:rPr>
        <w:t>1000万元。</w:t>
      </w:r>
    </w:p>
    <w:p>
      <w:pPr>
        <w:bidi w:val="0"/>
        <w:rPr>
          <w:rFonts w:hint="eastAsia"/>
          <w:lang w:val="en-US" w:eastAsia="zh-CN"/>
        </w:rPr>
      </w:pPr>
      <w:r>
        <w:rPr>
          <w:rFonts w:hint="eastAsia"/>
          <w:b/>
          <w:bCs/>
          <w:lang w:val="en-US" w:eastAsia="zh-CN"/>
        </w:rPr>
        <w:t>（八）全力做好地质灾害防治工作</w:t>
      </w:r>
      <w:r>
        <w:rPr>
          <w:rFonts w:hint="eastAsia"/>
          <w:b/>
          <w:bCs/>
          <w:lang w:eastAsia="zh-CN"/>
        </w:rPr>
        <w:t>。</w:t>
      </w:r>
      <w:r>
        <w:rPr>
          <w:rFonts w:hint="eastAsia"/>
          <w:lang w:val="en-US" w:eastAsia="zh-CN"/>
        </w:rPr>
        <w:t>及时更新完善地质灾害隐患点数据，科学编制2022年度地质灾害防治方案，落实地质灾害“人盯人防抢撤”机制。加快推进灾后重建和地灾综合防治体系建设，实施洛南县刘家村六组、山阳县前店子东湾等6个滑坡和柞水县龙洞湾崩塌综合治理，开展300个群专结合监测点普适性监测，完成2018、2019年度建设项目验收和2020、2021年度建设任务，争取将镇安县列入全省“隐患点+风险区”双管控试点。</w:t>
      </w:r>
    </w:p>
    <w:p>
      <w:pPr>
        <w:bidi w:val="0"/>
        <w:rPr>
          <w:rFonts w:hint="eastAsia"/>
          <w:lang w:val="en-US" w:eastAsia="zh-CN"/>
        </w:rPr>
      </w:pPr>
      <w:r>
        <w:rPr>
          <w:rFonts w:hint="eastAsia"/>
          <w:b/>
          <w:bCs/>
          <w:lang w:val="en-US" w:eastAsia="zh-CN"/>
        </w:rPr>
        <w:t>（九）坚决守护秦岭生态环境。</w:t>
      </w:r>
      <w:r>
        <w:rPr>
          <w:rFonts w:hint="eastAsia"/>
          <w:lang w:val="en-US" w:eastAsia="zh-CN"/>
        </w:rPr>
        <w:t>持续巩固中省环保督察和自然资源例行督查整改成果，配合做好中央环保督察反馈问题整改工作，坚决遏制新的矿山生产严重破坏秦岭生态环境行为发生。强化</w:t>
      </w:r>
      <w:r>
        <w:rPr>
          <w:rFonts w:hint="eastAsia"/>
          <w:lang w:eastAsia="zh-CN"/>
        </w:rPr>
        <w:t>秦岭生态突出问题图斑核查和图斑核查发现问题整改，</w:t>
      </w:r>
      <w:r>
        <w:rPr>
          <w:rFonts w:hint="eastAsia"/>
        </w:rPr>
        <w:t>切实做好秦岭区域“五乱”</w:t>
      </w:r>
      <w:r>
        <w:rPr>
          <w:rFonts w:hint="eastAsia"/>
          <w:lang w:val="en-US" w:eastAsia="zh-CN"/>
        </w:rPr>
        <w:t>及长江黄河流域违法行专项整治，严厉打击乱搭乱建、乱采乱挖行为，集中查办一批顶风作案的典型案例，坚决遏制各类违法行为的发生。</w:t>
      </w:r>
    </w:p>
    <w:p>
      <w:pPr>
        <w:bidi w:val="0"/>
        <w:rPr>
          <w:rFonts w:hint="eastAsia"/>
          <w:lang w:val="en-US" w:eastAsia="zh-CN"/>
        </w:rPr>
      </w:pPr>
      <w:r>
        <w:rPr>
          <w:rFonts w:hint="eastAsia"/>
          <w:b/>
          <w:bCs/>
          <w:lang w:val="en-US" w:eastAsia="zh-CN"/>
        </w:rPr>
        <w:t>（十）持续优化提升营商环境。</w:t>
      </w:r>
      <w:r>
        <w:rPr>
          <w:rFonts w:hint="eastAsia"/>
          <w:lang w:val="en-US" w:eastAsia="zh-CN"/>
        </w:rPr>
        <w:t>加快</w:t>
      </w:r>
      <w:r>
        <w:rPr>
          <w:rFonts w:hint="eastAsia"/>
        </w:rPr>
        <w:t>不动产登记信息系统建设，坚持“一厅办公”，积极推行“一窗受理”受理</w:t>
      </w:r>
      <w:r>
        <w:rPr>
          <w:rFonts w:hint="eastAsia"/>
          <w:lang w:val="en-US" w:eastAsia="zh-CN"/>
        </w:rPr>
        <w:t>，推进“互联网+不动产登记”，全面实现数据共享，让“数据多跑路、群众少跑腿”，不断提高便民服务水平。坚持问题导向，</w:t>
      </w:r>
      <w:r>
        <w:rPr>
          <w:rFonts w:hint="eastAsia"/>
        </w:rPr>
        <w:t>全力</w:t>
      </w:r>
      <w:r>
        <w:rPr>
          <w:rFonts w:hint="eastAsia"/>
          <w:lang w:eastAsia="zh-CN"/>
        </w:rPr>
        <w:t>化解群众反映强烈的</w:t>
      </w:r>
      <w:r>
        <w:rPr>
          <w:rFonts w:hint="eastAsia"/>
        </w:rPr>
        <w:t>历史遗留问题</w:t>
      </w:r>
      <w:r>
        <w:rPr>
          <w:rFonts w:hint="eastAsia"/>
          <w:lang w:eastAsia="zh-CN"/>
        </w:rPr>
        <w:t>，</w:t>
      </w:r>
      <w:r>
        <w:rPr>
          <w:rFonts w:hint="eastAsia"/>
          <w:lang w:val="en-US" w:eastAsia="zh-CN"/>
        </w:rPr>
        <w:t>加快推进“农房一体”不动产确权登记成果整合入库及汇交工作。</w:t>
      </w:r>
    </w:p>
    <w:p>
      <w:pPr>
        <w:bidi w:val="0"/>
      </w:pPr>
      <w:r>
        <w:rPr>
          <w:rFonts w:hint="eastAsia"/>
          <w:b/>
          <w:bCs/>
          <w:lang w:val="en-US" w:eastAsia="zh-CN"/>
        </w:rPr>
        <w:t>（十一）持续巩固脱贫成果助力乡村振兴。</w:t>
      </w:r>
      <w:r>
        <w:rPr>
          <w:rFonts w:hint="eastAsia"/>
          <w:lang w:val="en-US" w:eastAsia="zh-CN"/>
        </w:rPr>
        <w:t>对全市247个易地扶贫搬迁安置项目进行“回头看”，完成“十三五”2.7万户同步搬迁安置项目的决算审计、综合验收、资产移交，全面启动“十四五”避灾搬迁安置工作；发挥自然资源部门优势，保障乡村振兴产业用地，做好村庄规划编制，新启动实施62个村庄规划编制工作，着力打造村庄规划样板。</w:t>
      </w:r>
    </w:p>
    <w:p>
      <w:pPr>
        <w:pStyle w:val="2"/>
        <w:bidi w:val="0"/>
        <w:rPr>
          <w:rFonts w:hint="eastAsia"/>
          <w:color w:val="auto"/>
          <w:highlight w:val="none"/>
        </w:rPr>
      </w:pPr>
      <w:r>
        <w:rPr>
          <w:rFonts w:hint="eastAsia"/>
          <w:color w:val="auto"/>
          <w:highlight w:val="none"/>
        </w:rPr>
        <w:t>部门预算单位构成</w:t>
      </w:r>
    </w:p>
    <w:p>
      <w:pPr>
        <w:bidi w:val="0"/>
        <w:rPr>
          <w:rFonts w:hint="eastAsia"/>
          <w:color w:val="auto"/>
          <w:highlight w:val="none"/>
        </w:rPr>
      </w:pPr>
      <w:r>
        <w:rPr>
          <w:rFonts w:hint="eastAsia"/>
          <w:color w:val="auto"/>
          <w:highlight w:val="none"/>
        </w:rPr>
        <w:t>从预算单位构成看，本部门的部门预算包括部门本级（机关）预算和</w:t>
      </w:r>
      <w:r>
        <w:rPr>
          <w:rFonts w:hint="eastAsia"/>
          <w:color w:val="auto"/>
          <w:highlight w:val="none"/>
          <w:lang w:val="en-US" w:eastAsia="zh-CN"/>
        </w:rPr>
        <w:t>所属</w:t>
      </w:r>
      <w:r>
        <w:rPr>
          <w:rFonts w:hint="eastAsia"/>
          <w:color w:val="auto"/>
          <w:highlight w:val="none"/>
        </w:rPr>
        <w:t>单位预算。</w:t>
      </w:r>
    </w:p>
    <w:p>
      <w:pPr>
        <w:bidi w:val="0"/>
        <w:rPr>
          <w:rFonts w:hint="eastAsia"/>
          <w:color w:val="auto"/>
          <w:highlight w:val="none"/>
        </w:rPr>
      </w:pPr>
      <w:r>
        <w:rPr>
          <w:rFonts w:hint="eastAsia"/>
          <w:color w:val="auto"/>
          <w:highlight w:val="none"/>
        </w:rPr>
        <w:t>纳入本部门</w:t>
      </w:r>
      <w:r>
        <w:rPr>
          <w:rFonts w:hint="eastAsia"/>
          <w:color w:val="auto"/>
          <w:highlight w:val="none"/>
          <w:lang w:eastAsia="zh-CN"/>
        </w:rPr>
        <w:t>2022年</w:t>
      </w:r>
      <w:r>
        <w:rPr>
          <w:rFonts w:hint="eastAsia"/>
          <w:color w:val="auto"/>
          <w:highlight w:val="none"/>
        </w:rPr>
        <w:t>部门预算编制范围的二级预算单位共有</w:t>
      </w:r>
      <w:r>
        <w:rPr>
          <w:rFonts w:hint="eastAsia"/>
          <w:color w:val="auto"/>
          <w:highlight w:val="none"/>
          <w:lang w:val="en-US" w:eastAsia="zh-CN"/>
        </w:rPr>
        <w:t>16</w:t>
      </w:r>
      <w:r>
        <w:rPr>
          <w:rFonts w:hint="eastAsia"/>
          <w:color w:val="auto"/>
          <w:highlight w:val="none"/>
        </w:rPr>
        <w:t>个，包括：</w:t>
      </w:r>
    </w:p>
    <w:tbl>
      <w:tblPr>
        <w:tblStyle w:val="16"/>
        <w:tblW w:w="9048" w:type="dxa"/>
        <w:jc w:val="center"/>
        <w:tblLayout w:type="fixed"/>
        <w:tblCellMar>
          <w:top w:w="0" w:type="dxa"/>
          <w:left w:w="108" w:type="dxa"/>
          <w:bottom w:w="0" w:type="dxa"/>
          <w:right w:w="108" w:type="dxa"/>
        </w:tblCellMar>
      </w:tblPr>
      <w:tblGrid>
        <w:gridCol w:w="707"/>
        <w:gridCol w:w="5988"/>
        <w:gridCol w:w="2353"/>
      </w:tblGrid>
      <w:tr>
        <w:tblPrEx>
          <w:tblCellMar>
            <w:top w:w="0" w:type="dxa"/>
            <w:left w:w="108" w:type="dxa"/>
            <w:bottom w:w="0" w:type="dxa"/>
            <w:right w:w="108" w:type="dxa"/>
          </w:tblCellMar>
        </w:tblPrEx>
        <w:trPr>
          <w:trHeight w:val="49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序号</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单位名称</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default" w:ascii="黑体" w:hAnsi="黑体" w:eastAsia="黑体" w:cs="黑体"/>
                <w:bCs/>
                <w:color w:val="auto"/>
                <w:kern w:val="0"/>
                <w:sz w:val="24"/>
                <w:szCs w:val="24"/>
                <w:highlight w:val="none"/>
                <w:lang w:val="en-US" w:eastAsia="zh-CN"/>
              </w:rPr>
            </w:pPr>
            <w:r>
              <w:rPr>
                <w:rFonts w:hint="eastAsia" w:ascii="黑体" w:hAnsi="黑体" w:eastAsia="黑体" w:cs="黑体"/>
                <w:bCs/>
                <w:color w:val="auto"/>
                <w:kern w:val="0"/>
                <w:sz w:val="24"/>
                <w:szCs w:val="24"/>
                <w:highlight w:val="none"/>
                <w:lang w:val="en-US" w:eastAsia="zh-CN"/>
              </w:rPr>
              <w:t>拟变动情况</w:t>
            </w:r>
          </w:p>
        </w:tc>
      </w:tr>
      <w:tr>
        <w:tblPrEx>
          <w:tblCellMar>
            <w:top w:w="0" w:type="dxa"/>
            <w:left w:w="108" w:type="dxa"/>
            <w:bottom w:w="0" w:type="dxa"/>
            <w:right w:w="108" w:type="dxa"/>
          </w:tblCellMar>
        </w:tblPrEx>
        <w:trPr>
          <w:trHeight w:val="630"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eastAsia="zh-CN"/>
              </w:rPr>
              <w:t>自然资源局</w:t>
            </w:r>
            <w:r>
              <w:rPr>
                <w:rFonts w:hint="eastAsia" w:cs="仿宋_GB2312"/>
                <w:bCs/>
                <w:color w:val="auto"/>
                <w:sz w:val="24"/>
                <w:szCs w:val="24"/>
                <w:highlight w:val="none"/>
                <w:lang w:val="en-US" w:eastAsia="zh-CN"/>
              </w:rPr>
              <w:t>本级（</w:t>
            </w:r>
            <w:r>
              <w:rPr>
                <w:rFonts w:ascii="仿宋_GB2312" w:hAnsi="仿宋_GB2312" w:eastAsia="仿宋_GB2312" w:cs="仿宋_GB2312"/>
                <w:bCs/>
                <w:color w:val="auto"/>
                <w:sz w:val="24"/>
                <w:szCs w:val="24"/>
                <w:highlight w:val="none"/>
              </w:rPr>
              <w:t>机关</w:t>
            </w:r>
            <w:r>
              <w:rPr>
                <w:rFonts w:hint="eastAsia" w:cs="仿宋_GB2312"/>
                <w:bCs/>
                <w:color w:val="auto"/>
                <w:sz w:val="24"/>
                <w:szCs w:val="24"/>
                <w:highlight w:val="none"/>
                <w:lang w:val="en-US" w:eastAsia="zh-CN"/>
              </w:rPr>
              <w:t>）</w:t>
            </w:r>
          </w:p>
        </w:tc>
        <w:tc>
          <w:tcPr>
            <w:tcW w:w="23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59"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2</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商洛市土地收购储备中心</w:t>
            </w:r>
          </w:p>
        </w:tc>
        <w:tc>
          <w:tcPr>
            <w:tcW w:w="23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45"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3</w:t>
            </w:r>
          </w:p>
        </w:tc>
        <w:tc>
          <w:tcPr>
            <w:tcW w:w="598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val="en-US" w:eastAsia="zh-CN"/>
              </w:rPr>
              <w:t>自然</w:t>
            </w:r>
            <w:r>
              <w:rPr>
                <w:rFonts w:ascii="仿宋_GB2312" w:hAnsi="仿宋_GB2312" w:eastAsia="仿宋_GB2312" w:cs="仿宋_GB2312"/>
                <w:bCs/>
                <w:color w:val="auto"/>
                <w:sz w:val="24"/>
                <w:szCs w:val="24"/>
                <w:highlight w:val="none"/>
              </w:rPr>
              <w:t>资源执法监察支队</w:t>
            </w:r>
          </w:p>
        </w:tc>
        <w:tc>
          <w:tcPr>
            <w:tcW w:w="235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29"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4</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商洛市统一征地办公室</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0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5</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sz w:val="24"/>
                <w:szCs w:val="24"/>
                <w:highlight w:val="none"/>
              </w:rPr>
              <w:t>商洛</w:t>
            </w:r>
            <w:r>
              <w:rPr>
                <w:rFonts w:ascii="仿宋_GB2312" w:hAnsi="仿宋_GB2312" w:eastAsia="仿宋_GB2312" w:cs="仿宋_GB2312"/>
                <w:bCs/>
                <w:color w:val="auto"/>
                <w:sz w:val="24"/>
                <w:szCs w:val="24"/>
                <w:highlight w:val="none"/>
              </w:rPr>
              <w:t>市移民（脱贫）搬迁工作办公室</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6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6</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商洛市土地开发复垦整理中心</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9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7</w:t>
            </w:r>
          </w:p>
        </w:tc>
        <w:tc>
          <w:tcPr>
            <w:tcW w:w="5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商洛市地质环境监测中心站</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609"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8</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eastAsia="zh-CN"/>
              </w:rPr>
              <w:t>自然资源局</w:t>
            </w:r>
            <w:r>
              <w:rPr>
                <w:rFonts w:ascii="仿宋_GB2312" w:hAnsi="仿宋_GB2312" w:eastAsia="仿宋_GB2312" w:cs="仿宋_GB2312"/>
                <w:bCs/>
                <w:color w:val="auto"/>
                <w:sz w:val="24"/>
                <w:szCs w:val="24"/>
                <w:highlight w:val="none"/>
              </w:rPr>
              <w:t>商州分局</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96"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9</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val="en-US" w:eastAsia="zh-CN"/>
              </w:rPr>
              <w:t>自然</w:t>
            </w:r>
            <w:r>
              <w:rPr>
                <w:rFonts w:hint="eastAsia" w:ascii="仿宋_GB2312" w:hAnsi="仿宋_GB2312" w:eastAsia="仿宋_GB2312" w:cs="仿宋_GB2312"/>
                <w:bCs/>
                <w:color w:val="auto"/>
                <w:sz w:val="24"/>
                <w:szCs w:val="24"/>
                <w:highlight w:val="none"/>
              </w:rPr>
              <w:t>资源局商州分局土地收购储备中心</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03"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10</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val="en-US" w:eastAsia="zh-CN"/>
              </w:rPr>
              <w:t>自然</w:t>
            </w:r>
            <w:r>
              <w:rPr>
                <w:rFonts w:hint="eastAsia" w:ascii="仿宋_GB2312" w:hAnsi="仿宋_GB2312" w:eastAsia="仿宋_GB2312" w:cs="仿宋_GB2312"/>
                <w:bCs/>
                <w:color w:val="auto"/>
                <w:sz w:val="24"/>
                <w:szCs w:val="24"/>
                <w:highlight w:val="none"/>
              </w:rPr>
              <w:t>资源局商州分局土地开发复垦整理中心</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11</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val="en-US" w:eastAsia="zh-CN"/>
              </w:rPr>
              <w:t>自然</w:t>
            </w:r>
            <w:bookmarkStart w:id="0" w:name="_GoBack"/>
            <w:bookmarkEnd w:id="0"/>
            <w:r>
              <w:rPr>
                <w:rFonts w:hint="eastAsia" w:ascii="仿宋_GB2312" w:hAnsi="仿宋_GB2312" w:eastAsia="仿宋_GB2312" w:cs="仿宋_GB2312"/>
                <w:bCs/>
                <w:color w:val="auto"/>
                <w:sz w:val="24"/>
                <w:szCs w:val="24"/>
                <w:highlight w:val="none"/>
              </w:rPr>
              <w:t>资源局商州分局地质环境监测站</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12</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cs="仿宋_GB2312"/>
                <w:bCs/>
                <w:color w:val="auto"/>
                <w:sz w:val="24"/>
                <w:szCs w:val="24"/>
                <w:highlight w:val="none"/>
                <w:lang w:val="en-US" w:eastAsia="zh-CN"/>
              </w:rPr>
              <w:t>商洛</w:t>
            </w:r>
            <w:r>
              <w:rPr>
                <w:rFonts w:ascii="仿宋_GB2312" w:hAnsi="仿宋_GB2312" w:eastAsia="仿宋_GB2312" w:cs="仿宋_GB2312"/>
                <w:bCs/>
                <w:color w:val="auto"/>
                <w:sz w:val="24"/>
                <w:szCs w:val="24"/>
                <w:highlight w:val="none"/>
              </w:rPr>
              <w:t>市不动产登记中心</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13</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auto"/>
                <w:sz w:val="24"/>
                <w:szCs w:val="24"/>
                <w:highlight w:val="none"/>
              </w:rPr>
              <w:t>商洛市自然资源局商州分局规划站</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color w:val="auto"/>
                <w:kern w:val="2"/>
                <w:sz w:val="24"/>
                <w:szCs w:val="24"/>
                <w:highlight w:val="none"/>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14</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default"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商洛市自然资源勘测设计院</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15</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default"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w:t>
            </w:r>
            <w:r>
              <w:rPr>
                <w:rFonts w:hint="eastAsia" w:cs="仿宋_GB2312"/>
                <w:bCs/>
                <w:kern w:val="0"/>
                <w:sz w:val="24"/>
                <w:szCs w:val="24"/>
                <w:lang w:val="en-US" w:eastAsia="zh-CN"/>
              </w:rPr>
              <w:t>城市展示馆</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16</w:t>
            </w:r>
          </w:p>
        </w:tc>
        <w:tc>
          <w:tcPr>
            <w:tcW w:w="598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商洛市自然资源局高新区（商丹园区）分局</w:t>
            </w:r>
          </w:p>
        </w:tc>
        <w:tc>
          <w:tcPr>
            <w:tcW w:w="23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bl>
    <w:p>
      <w:pPr>
        <w:pStyle w:val="2"/>
        <w:bidi w:val="0"/>
        <w:rPr>
          <w:rFonts w:hint="eastAsia"/>
          <w:color w:val="auto"/>
          <w:highlight w:val="none"/>
        </w:rPr>
      </w:pPr>
      <w:r>
        <w:rPr>
          <w:rFonts w:hint="eastAsia"/>
          <w:color w:val="auto"/>
          <w:highlight w:val="none"/>
        </w:rPr>
        <w:t>部门人员情况说明</w:t>
      </w:r>
    </w:p>
    <w:p>
      <w:pPr>
        <w:bidi w:val="0"/>
        <w:rPr>
          <w:rFonts w:hint="eastAsia"/>
          <w:lang w:val="en-US" w:eastAsia="zh-CN"/>
        </w:rPr>
      </w:pPr>
      <w:r>
        <w:rPr>
          <w:rFonts w:hint="eastAsia"/>
          <w:lang w:val="en-US" w:eastAsia="zh-CN"/>
        </w:rPr>
        <w:t>截止2021年底，本部门人员编制302人，其中行政编制51人、事业编制251人；实有人员278人，其中行政61人（含工勤7人）、事业217人（含工勤97人）。单位管理的离退休人员83人。</w:t>
      </w:r>
    </w:p>
    <w:p>
      <w:pPr>
        <w:bidi w:val="0"/>
        <w:ind w:left="0" w:leftChars="0" w:firstLine="0" w:firstLineChars="0"/>
        <w:jc w:val="center"/>
        <w:rPr>
          <w:rFonts w:hint="default" w:eastAsia="仿宋_GB2312"/>
          <w:lang w:val="en-US" w:eastAsia="zh-CN"/>
        </w:rPr>
      </w:pPr>
      <w:r>
        <w:drawing>
          <wp:inline distT="0" distB="0" distL="114300" distR="114300">
            <wp:extent cx="1976120" cy="2966085"/>
            <wp:effectExtent l="0" t="0" r="5080"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rcRect l="29801" t="715" r="30988" b="1093"/>
                    <a:stretch>
                      <a:fillRect/>
                    </a:stretch>
                  </pic:blipFill>
                  <pic:spPr>
                    <a:xfrm>
                      <a:off x="0" y="0"/>
                      <a:ext cx="1976120" cy="296608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227580" cy="2981325"/>
            <wp:effectExtent l="0" t="0" r="12700"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rcRect l="27663" t="750" r="28380" b="1114"/>
                    <a:stretch>
                      <a:fillRect/>
                    </a:stretch>
                  </pic:blipFill>
                  <pic:spPr>
                    <a:xfrm>
                      <a:off x="0" y="0"/>
                      <a:ext cx="2227580" cy="2981325"/>
                    </a:xfrm>
                    <a:prstGeom prst="rect">
                      <a:avLst/>
                    </a:prstGeom>
                    <a:noFill/>
                    <a:ln>
                      <a:noFill/>
                    </a:ln>
                  </pic:spPr>
                </pic:pic>
              </a:graphicData>
            </a:graphic>
          </wp:inline>
        </w:drawing>
      </w:r>
      <w:r>
        <w:rPr>
          <w:rFonts w:hint="eastAsia"/>
          <w:lang w:val="en-US" w:eastAsia="zh-CN"/>
        </w:rPr>
        <w:t xml:space="preserve"> </w:t>
      </w:r>
    </w:p>
    <w:p>
      <w:pPr>
        <w:bidi w:val="0"/>
        <w:rPr>
          <w:rFonts w:hint="eastAsia"/>
          <w:lang w:val="en-US" w:eastAsia="zh-CN"/>
        </w:rPr>
      </w:pPr>
    </w:p>
    <w:p>
      <w:pPr>
        <w:pStyle w:val="30"/>
        <w:bidi w:val="0"/>
        <w:rPr>
          <w:rFonts w:hint="eastAsia"/>
        </w:rPr>
      </w:pPr>
      <w:r>
        <w:rPr>
          <w:rFonts w:hint="eastAsia"/>
          <w:lang w:val="en-US" w:eastAsia="zh-CN"/>
        </w:rPr>
        <w:t xml:space="preserve">第二部分  </w:t>
      </w:r>
      <w:r>
        <w:rPr>
          <w:rFonts w:hint="eastAsia"/>
        </w:rPr>
        <w:t>收支情况</w:t>
      </w:r>
    </w:p>
    <w:p>
      <w:pPr>
        <w:bidi w:val="0"/>
        <w:rPr>
          <w:rFonts w:hint="default"/>
          <w:lang w:val="en-US" w:eastAsia="zh-CN"/>
        </w:rPr>
      </w:pPr>
    </w:p>
    <w:p>
      <w:pPr>
        <w:pStyle w:val="2"/>
        <w:bidi w:val="0"/>
        <w:rPr>
          <w:rFonts w:hint="eastAsia"/>
          <w:color w:val="auto"/>
          <w:highlight w:val="none"/>
        </w:rPr>
      </w:pPr>
      <w:r>
        <w:rPr>
          <w:rFonts w:hint="eastAsia"/>
          <w:color w:val="auto"/>
          <w:highlight w:val="none"/>
          <w:lang w:eastAsia="zh-CN"/>
        </w:rPr>
        <w:t>2022年</w:t>
      </w:r>
      <w:r>
        <w:rPr>
          <w:rFonts w:hint="eastAsia"/>
          <w:color w:val="auto"/>
          <w:highlight w:val="none"/>
        </w:rPr>
        <w:t>部门预算收支说明</w:t>
      </w:r>
    </w:p>
    <w:p>
      <w:pPr>
        <w:pStyle w:val="3"/>
        <w:bidi w:val="0"/>
        <w:rPr>
          <w:rFonts w:hint="eastAsia"/>
        </w:rPr>
      </w:pPr>
      <w:r>
        <w:rPr>
          <w:rFonts w:hint="eastAsia"/>
        </w:rPr>
        <w:t>收支预算总体情况</w:t>
      </w:r>
    </w:p>
    <w:p>
      <w:pPr>
        <w:bidi w:val="0"/>
        <w:rPr>
          <w:rFonts w:hint="eastAsia"/>
          <w:lang w:val="en-US" w:eastAsia="zh-CN"/>
        </w:rPr>
      </w:pPr>
      <w:r>
        <w:rPr>
          <w:rFonts w:hint="eastAsia"/>
          <w:lang w:val="en-US" w:eastAsia="zh-CN"/>
        </w:rPr>
        <w:t>按照综合预算的原则，本部门所有收入和支出均纳入部门预算管理。</w:t>
      </w:r>
    </w:p>
    <w:p>
      <w:pPr>
        <w:bidi w:val="0"/>
        <w:rPr>
          <w:rFonts w:hint="eastAsia" w:eastAsia="仿宋_GB2312"/>
          <w:lang w:val="en-US" w:eastAsia="zh-CN"/>
        </w:rPr>
      </w:pPr>
      <w:r>
        <w:rPr>
          <w:rFonts w:hint="eastAsia"/>
          <w:lang w:val="en-US" w:eastAsia="zh-CN"/>
        </w:rPr>
        <w:t>(1)2022年本部门预算收入4737.86万元（含专项资金1310.5万元），其中一般公共预算拨款收入4737.86万元（含专项资金1310.50万元）、</w:t>
      </w:r>
      <w:r>
        <w:rPr>
          <w:rFonts w:hint="eastAsia" w:ascii="仿宋_GB2312" w:hAnsi="仿宋_GB2312" w:eastAsia="仿宋_GB2312" w:cs="仿宋_GB2312"/>
          <w:sz w:val="32"/>
          <w:szCs w:val="32"/>
          <w:highlight w:val="none"/>
          <w:lang w:val="en-US" w:eastAsia="zh-CN"/>
        </w:rPr>
        <w:t>政府性基金拨款收入</w:t>
      </w:r>
      <w:r>
        <w:rPr>
          <w:rFonts w:hint="eastAsia" w:cs="仿宋_GB2312"/>
          <w:sz w:val="32"/>
          <w:szCs w:val="32"/>
          <w:highlight w:val="none"/>
          <w:lang w:val="en-US" w:eastAsia="zh-CN"/>
        </w:rPr>
        <w:t>0</w:t>
      </w:r>
      <w:r>
        <w:rPr>
          <w:rFonts w:hint="eastAsia" w:ascii="仿宋_GB2312" w:hAnsi="仿宋_GB2312" w:eastAsia="仿宋_GB2312" w:cs="仿宋_GB2312"/>
          <w:sz w:val="32"/>
          <w:szCs w:val="32"/>
          <w:highlight w:val="none"/>
          <w:lang w:val="en-US" w:eastAsia="zh-CN"/>
        </w:rPr>
        <w:t>万元</w:t>
      </w:r>
      <w:r>
        <w:rPr>
          <w:rFonts w:hint="eastAsia" w:cs="仿宋_GB2312"/>
          <w:sz w:val="32"/>
          <w:szCs w:val="32"/>
          <w:highlight w:val="none"/>
          <w:lang w:val="en-US" w:eastAsia="zh-CN"/>
        </w:rPr>
        <w:t>，</w:t>
      </w:r>
      <w:r>
        <w:rPr>
          <w:rFonts w:hint="eastAsia"/>
          <w:lang w:val="en-US" w:eastAsia="zh-CN"/>
        </w:rPr>
        <w:t>2022年本部门预算收入较上年增加285.15万元，主要原因是</w:t>
      </w:r>
      <w:r>
        <w:rPr>
          <w:rFonts w:hint="eastAsia"/>
          <w:color w:val="auto"/>
          <w:highlight w:val="none"/>
          <w:lang w:val="en-US" w:eastAsia="zh-CN"/>
        </w:rPr>
        <w:t>工资普调、“五险一金”缴费基数上涨、</w:t>
      </w:r>
      <w:r>
        <w:rPr>
          <w:rFonts w:hint="eastAsia"/>
          <w:lang w:val="en-US" w:eastAsia="zh-CN"/>
        </w:rPr>
        <w:t>机构改革勘测设计院人员增多财政定补金额增加等所致；</w:t>
      </w:r>
    </w:p>
    <w:p>
      <w:pPr>
        <w:bidi w:val="0"/>
        <w:rPr>
          <w:rFonts w:hint="eastAsia"/>
          <w:color w:val="auto"/>
          <w:highlight w:val="none"/>
          <w:lang w:val="en-US" w:eastAsia="zh-CN"/>
        </w:rPr>
      </w:pPr>
      <w:r>
        <w:rPr>
          <w:rFonts w:hint="eastAsia"/>
          <w:lang w:val="en-US" w:eastAsia="zh-CN"/>
        </w:rPr>
        <w:t>(2)2022年本部门预算支出4737.86万元（含专项资金1310.50万元），其中一般公共</w:t>
      </w:r>
      <w:r>
        <w:rPr>
          <w:rFonts w:hint="eastAsia"/>
        </w:rPr>
        <w:t>预算拨款支出</w:t>
      </w:r>
      <w:r>
        <w:rPr>
          <w:rFonts w:hint="eastAsia"/>
          <w:lang w:val="en-US" w:eastAsia="zh-CN"/>
        </w:rPr>
        <w:t>4737.86</w:t>
      </w:r>
      <w:r>
        <w:rPr>
          <w:rFonts w:hint="eastAsia"/>
        </w:rPr>
        <w:t>万元</w:t>
      </w:r>
      <w:r>
        <w:rPr>
          <w:rFonts w:hint="eastAsia"/>
          <w:lang w:val="en-US" w:eastAsia="zh-CN"/>
        </w:rPr>
        <w:t>（含专项资金1310.50万元）、</w:t>
      </w:r>
      <w:r>
        <w:rPr>
          <w:rFonts w:hint="eastAsia" w:ascii="仿宋_GB2312" w:hAnsi="仿宋_GB2312" w:eastAsia="仿宋_GB2312" w:cs="仿宋_GB2312"/>
          <w:sz w:val="32"/>
          <w:szCs w:val="32"/>
          <w:highlight w:val="none"/>
          <w:lang w:val="en-US" w:eastAsia="zh-CN"/>
        </w:rPr>
        <w:t>政府性基金拨款支出</w:t>
      </w:r>
      <w:r>
        <w:rPr>
          <w:rFonts w:hint="eastAsia" w:cs="仿宋_GB2312"/>
          <w:sz w:val="32"/>
          <w:szCs w:val="32"/>
          <w:highlight w:val="none"/>
          <w:lang w:val="en-US" w:eastAsia="zh-CN"/>
        </w:rPr>
        <w:t>0</w:t>
      </w:r>
      <w:r>
        <w:rPr>
          <w:rFonts w:hint="eastAsia" w:ascii="仿宋_GB2312" w:hAnsi="仿宋_GB2312" w:eastAsia="仿宋_GB2312" w:cs="仿宋_GB2312"/>
          <w:sz w:val="32"/>
          <w:szCs w:val="32"/>
          <w:highlight w:val="none"/>
          <w:lang w:val="en-US" w:eastAsia="zh-CN"/>
        </w:rPr>
        <w:t>万元</w:t>
      </w:r>
      <w:r>
        <w:rPr>
          <w:rFonts w:hint="eastAsia"/>
        </w:rPr>
        <w:t>，</w:t>
      </w:r>
      <w:r>
        <w:rPr>
          <w:rFonts w:hint="eastAsia"/>
          <w:lang w:eastAsia="zh-CN"/>
        </w:rPr>
        <w:t>2022年</w:t>
      </w:r>
      <w:r>
        <w:rPr>
          <w:rFonts w:hint="eastAsia"/>
        </w:rPr>
        <w:t>本部门预</w:t>
      </w:r>
      <w:r>
        <w:rPr>
          <w:rFonts w:hint="eastAsia"/>
          <w:color w:val="auto"/>
          <w:highlight w:val="none"/>
        </w:rPr>
        <w:t>算支出</w:t>
      </w:r>
      <w:r>
        <w:rPr>
          <w:rFonts w:hint="eastAsia"/>
          <w:color w:val="auto"/>
          <w:highlight w:val="none"/>
          <w:lang w:eastAsia="zh-CN"/>
        </w:rPr>
        <w:t>较上年</w:t>
      </w:r>
      <w:r>
        <w:rPr>
          <w:rFonts w:hint="eastAsia"/>
          <w:color w:val="auto"/>
          <w:highlight w:val="none"/>
        </w:rPr>
        <w:t>增加</w:t>
      </w:r>
      <w:r>
        <w:rPr>
          <w:rFonts w:hint="eastAsia"/>
          <w:lang w:val="en-US" w:eastAsia="zh-CN"/>
        </w:rPr>
        <w:t>285.15</w:t>
      </w:r>
      <w:r>
        <w:rPr>
          <w:rFonts w:hint="eastAsia"/>
          <w:color w:val="auto"/>
          <w:highlight w:val="none"/>
        </w:rPr>
        <w:t>万元，</w:t>
      </w:r>
      <w:r>
        <w:rPr>
          <w:rFonts w:hint="eastAsia"/>
          <w:color w:val="auto"/>
          <w:highlight w:val="none"/>
          <w:lang w:val="en-US" w:eastAsia="zh-CN"/>
        </w:rPr>
        <w:t>主要原因同上。</w:t>
      </w:r>
    </w:p>
    <w:p>
      <w:pPr>
        <w:pStyle w:val="3"/>
        <w:bidi w:val="0"/>
        <w:rPr>
          <w:rFonts w:hint="eastAsia"/>
          <w:color w:val="auto"/>
          <w:highlight w:val="none"/>
        </w:rPr>
      </w:pPr>
      <w:r>
        <w:rPr>
          <w:rFonts w:hint="eastAsia"/>
          <w:color w:val="auto"/>
          <w:highlight w:val="none"/>
        </w:rPr>
        <w:t>财政拨款收支情况</w:t>
      </w:r>
    </w:p>
    <w:p>
      <w:pPr>
        <w:bidi w:val="0"/>
        <w:rPr>
          <w:rFonts w:hint="eastAsia"/>
          <w:lang w:val="en-US" w:eastAsia="zh-CN"/>
        </w:rPr>
      </w:pPr>
      <w:r>
        <w:rPr>
          <w:rFonts w:hint="eastAsia"/>
          <w:color w:val="auto"/>
          <w:highlight w:val="none"/>
          <w:lang w:val="en-US" w:eastAsia="zh-CN"/>
        </w:rPr>
        <w:t>(1)</w:t>
      </w:r>
      <w:r>
        <w:rPr>
          <w:rFonts w:hint="eastAsia"/>
          <w:color w:val="auto"/>
          <w:highlight w:val="none"/>
          <w:lang w:eastAsia="zh-CN"/>
        </w:rPr>
        <w:t>2022年</w:t>
      </w:r>
      <w:r>
        <w:rPr>
          <w:rFonts w:hint="eastAsia"/>
          <w:color w:val="auto"/>
          <w:highlight w:val="none"/>
        </w:rPr>
        <w:t>本部门财政拨款收入</w:t>
      </w:r>
      <w:r>
        <w:rPr>
          <w:rFonts w:hint="eastAsia"/>
          <w:lang w:val="en-US" w:eastAsia="zh-CN"/>
        </w:rPr>
        <w:t>4737.86</w:t>
      </w:r>
      <w:r>
        <w:rPr>
          <w:rFonts w:hint="eastAsia"/>
          <w:color w:val="auto"/>
          <w:highlight w:val="none"/>
          <w:lang w:val="en-US" w:eastAsia="zh-CN"/>
        </w:rPr>
        <w:t>万元（含专项资金1310.50</w:t>
      </w:r>
      <w:r>
        <w:rPr>
          <w:rFonts w:hint="eastAsia"/>
          <w:lang w:val="en-US" w:eastAsia="zh-CN"/>
        </w:rPr>
        <w:t>万元），其中一般公共预算拨款收入4737.86万元（含专项资金1310.50万元）、</w:t>
      </w:r>
      <w:r>
        <w:rPr>
          <w:rFonts w:hint="eastAsia" w:ascii="仿宋_GB2312" w:hAnsi="仿宋_GB2312" w:eastAsia="仿宋_GB2312" w:cs="仿宋_GB2312"/>
          <w:sz w:val="32"/>
          <w:szCs w:val="32"/>
          <w:highlight w:val="none"/>
          <w:lang w:eastAsia="zh-CN"/>
        </w:rPr>
        <w:t>政府性基金拨款收入</w:t>
      </w:r>
      <w:r>
        <w:rPr>
          <w:rFonts w:hint="eastAsia"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w:t>
      </w:r>
      <w:r>
        <w:rPr>
          <w:rFonts w:hint="eastAsia"/>
          <w:lang w:val="en-US" w:eastAsia="zh-CN"/>
        </w:rPr>
        <w:t>，2022年本部门预算收入较上年减少1728.76万元，主要原因是</w:t>
      </w:r>
      <w:r>
        <w:rPr>
          <w:rFonts w:hint="eastAsia"/>
          <w:color w:val="auto"/>
          <w:highlight w:val="none"/>
          <w:lang w:val="en-US" w:eastAsia="zh-CN"/>
        </w:rPr>
        <w:t>工资普调、“五险一金”缴费基数上涨、</w:t>
      </w:r>
      <w:r>
        <w:rPr>
          <w:rFonts w:hint="eastAsia"/>
          <w:lang w:val="en-US" w:eastAsia="zh-CN"/>
        </w:rPr>
        <w:t>机构改革勘测设计院人员增多财政定补金额增加等所致；</w:t>
      </w:r>
    </w:p>
    <w:p>
      <w:pPr>
        <w:bidi w:val="0"/>
        <w:rPr>
          <w:rFonts w:hint="eastAsia"/>
        </w:rPr>
      </w:pPr>
      <w:r>
        <w:rPr>
          <w:rFonts w:hint="eastAsia"/>
          <w:lang w:val="en-US" w:eastAsia="zh-CN"/>
        </w:rPr>
        <w:t>(2)</w:t>
      </w:r>
      <w:r>
        <w:rPr>
          <w:rFonts w:hint="eastAsia"/>
          <w:lang w:eastAsia="zh-CN"/>
        </w:rPr>
        <w:t>2022年</w:t>
      </w:r>
      <w:r>
        <w:rPr>
          <w:rFonts w:hint="eastAsia"/>
        </w:rPr>
        <w:t>本部门财政拨款支出</w:t>
      </w:r>
      <w:r>
        <w:rPr>
          <w:rFonts w:hint="eastAsia"/>
          <w:lang w:val="en-US" w:eastAsia="zh-CN"/>
        </w:rPr>
        <w:t>4737.86万元（含专项资金1310.50万元），其中一般公共</w:t>
      </w:r>
      <w:r>
        <w:rPr>
          <w:rFonts w:hint="eastAsia"/>
        </w:rPr>
        <w:t>预算拨款支出</w:t>
      </w:r>
      <w:r>
        <w:rPr>
          <w:rFonts w:hint="eastAsia"/>
          <w:lang w:val="en-US" w:eastAsia="zh-CN"/>
        </w:rPr>
        <w:t>4737.86</w:t>
      </w:r>
      <w:r>
        <w:rPr>
          <w:rFonts w:hint="eastAsia"/>
        </w:rPr>
        <w:t>万元</w:t>
      </w:r>
      <w:r>
        <w:rPr>
          <w:rFonts w:hint="eastAsia"/>
          <w:lang w:val="en-US" w:eastAsia="zh-CN"/>
        </w:rPr>
        <w:t>（含专项资金1310.50万元）、</w:t>
      </w:r>
      <w:r>
        <w:rPr>
          <w:rFonts w:hint="eastAsia" w:ascii="仿宋_GB2312" w:hAnsi="仿宋_GB2312" w:eastAsia="仿宋_GB2312" w:cs="仿宋_GB2312"/>
          <w:sz w:val="32"/>
          <w:szCs w:val="32"/>
          <w:highlight w:val="none"/>
          <w:lang w:eastAsia="zh-CN"/>
        </w:rPr>
        <w:t>政府性基金拨款收入</w:t>
      </w:r>
      <w:r>
        <w:rPr>
          <w:rFonts w:hint="eastAsia"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w:t>
      </w:r>
      <w:r>
        <w:rPr>
          <w:rFonts w:hint="eastAsia"/>
        </w:rPr>
        <w:t>，</w:t>
      </w:r>
      <w:r>
        <w:rPr>
          <w:rFonts w:hint="eastAsia"/>
          <w:lang w:val="en-US" w:eastAsia="zh-CN"/>
        </w:rPr>
        <w:t>2022年本部门预算收入较上年增加285.15万元，主要原因同上</w:t>
      </w:r>
      <w:r>
        <w:rPr>
          <w:rFonts w:hint="eastAsia"/>
        </w:rPr>
        <w:t>。</w:t>
      </w:r>
    </w:p>
    <w:p>
      <w:pPr>
        <w:pStyle w:val="3"/>
        <w:bidi w:val="0"/>
        <w:rPr>
          <w:rFonts w:hint="eastAsia"/>
          <w:color w:val="auto"/>
          <w:highlight w:val="none"/>
        </w:rPr>
      </w:pPr>
      <w:r>
        <w:rPr>
          <w:rFonts w:hint="eastAsia"/>
          <w:color w:val="auto"/>
          <w:highlight w:val="none"/>
        </w:rPr>
        <w:t>一般公共预算拨款支出明细情况</w:t>
      </w:r>
    </w:p>
    <w:p>
      <w:pPr>
        <w:pStyle w:val="4"/>
        <w:bidi w:val="0"/>
        <w:rPr>
          <w:rFonts w:hint="eastAsia"/>
          <w:color w:val="auto"/>
          <w:highlight w:val="none"/>
        </w:rPr>
      </w:pPr>
      <w:r>
        <w:rPr>
          <w:rFonts w:hint="eastAsia"/>
          <w:color w:val="auto"/>
          <w:highlight w:val="none"/>
        </w:rPr>
        <w:t>一般公共预算当年拨款规模变化情况</w:t>
      </w:r>
    </w:p>
    <w:p>
      <w:pPr>
        <w:bidi w:val="0"/>
        <w:rPr>
          <w:rFonts w:hint="eastAsia"/>
          <w:color w:val="auto"/>
          <w:highlight w:val="none"/>
          <w:lang w:val="en-US" w:eastAsia="zh-CN"/>
        </w:rPr>
      </w:pPr>
      <w:r>
        <w:rPr>
          <w:rFonts w:hint="eastAsia"/>
          <w:color w:val="auto"/>
          <w:highlight w:val="none"/>
          <w:lang w:eastAsia="zh-CN"/>
        </w:rPr>
        <w:t>2022年</w:t>
      </w:r>
      <w:r>
        <w:rPr>
          <w:rFonts w:hint="eastAsia"/>
          <w:color w:val="auto"/>
          <w:highlight w:val="none"/>
        </w:rPr>
        <w:t>本部门</w:t>
      </w:r>
      <w:r>
        <w:rPr>
          <w:rFonts w:hint="eastAsia"/>
          <w:color w:val="auto"/>
          <w:highlight w:val="none"/>
          <w:lang w:val="en-US" w:eastAsia="zh-CN"/>
        </w:rPr>
        <w:t>当年</w:t>
      </w:r>
      <w:r>
        <w:rPr>
          <w:rFonts w:hint="eastAsia"/>
          <w:color w:val="auto"/>
          <w:highlight w:val="none"/>
          <w:lang w:eastAsia="zh-CN"/>
        </w:rPr>
        <w:t>一般公共预算拨款支出</w:t>
      </w:r>
      <w:r>
        <w:rPr>
          <w:rFonts w:hint="eastAsia"/>
          <w:lang w:val="en-US" w:eastAsia="zh-CN"/>
        </w:rPr>
        <w:t>4737.86</w:t>
      </w:r>
      <w:r>
        <w:rPr>
          <w:rFonts w:hint="eastAsia"/>
          <w:color w:val="auto"/>
          <w:highlight w:val="none"/>
          <w:lang w:eastAsia="zh-CN"/>
        </w:rPr>
        <w:t>万元</w:t>
      </w:r>
      <w:r>
        <w:rPr>
          <w:rFonts w:hint="eastAsia"/>
          <w:color w:val="auto"/>
          <w:highlight w:val="none"/>
          <w:lang w:val="en-US" w:eastAsia="zh-CN"/>
        </w:rPr>
        <w:t>（含专项资金1310.50万元）</w:t>
      </w:r>
      <w:r>
        <w:rPr>
          <w:rFonts w:hint="eastAsia"/>
          <w:color w:val="auto"/>
          <w:highlight w:val="none"/>
          <w:lang w:eastAsia="zh-CN"/>
        </w:rPr>
        <w:t>，较上年</w:t>
      </w:r>
      <w:r>
        <w:rPr>
          <w:rFonts w:hint="eastAsia"/>
          <w:color w:val="auto"/>
          <w:highlight w:val="none"/>
          <w:lang w:val="en-US" w:eastAsia="zh-CN"/>
        </w:rPr>
        <w:t>增加285.15万元，主要原因是工资普调、“五险一金”缴费基数上涨、</w:t>
      </w:r>
      <w:r>
        <w:rPr>
          <w:rFonts w:hint="eastAsia"/>
          <w:lang w:val="en-US" w:eastAsia="zh-CN"/>
        </w:rPr>
        <w:t>机构改革勘测设计院人员增多财政定补金额增加等所致</w:t>
      </w:r>
      <w:r>
        <w:rPr>
          <w:rFonts w:hint="eastAsia"/>
          <w:color w:val="auto"/>
          <w:highlight w:val="none"/>
          <w:lang w:val="en-US" w:eastAsia="zh-CN"/>
        </w:rPr>
        <w:t>。</w:t>
      </w:r>
    </w:p>
    <w:p>
      <w:pPr>
        <w:bidi w:val="0"/>
        <w:ind w:left="0" w:leftChars="0" w:firstLine="0" w:firstLineChars="0"/>
        <w:jc w:val="center"/>
        <w:rPr>
          <w:rFonts w:hint="eastAsia"/>
          <w:color w:val="auto"/>
          <w:highlight w:val="none"/>
          <w:lang w:val="en-US" w:eastAsia="zh-CN"/>
        </w:rPr>
      </w:pPr>
      <w:r>
        <w:drawing>
          <wp:inline distT="0" distB="0" distL="114300" distR="114300">
            <wp:extent cx="5565775" cy="2399665"/>
            <wp:effectExtent l="0" t="0" r="1206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565775" cy="2399665"/>
                    </a:xfrm>
                    <a:prstGeom prst="rect">
                      <a:avLst/>
                    </a:prstGeom>
                    <a:noFill/>
                    <a:ln>
                      <a:noFill/>
                    </a:ln>
                  </pic:spPr>
                </pic:pic>
              </a:graphicData>
            </a:graphic>
          </wp:inline>
        </w:drawing>
      </w:r>
    </w:p>
    <w:p>
      <w:pPr>
        <w:pStyle w:val="4"/>
        <w:bidi w:val="0"/>
        <w:rPr>
          <w:rFonts w:hint="eastAsia"/>
          <w:color w:val="auto"/>
          <w:highlight w:val="none"/>
        </w:rPr>
      </w:pPr>
      <w:r>
        <w:rPr>
          <w:rFonts w:hint="eastAsia"/>
          <w:color w:val="auto"/>
          <w:highlight w:val="none"/>
        </w:rPr>
        <w:t>支出按功能科目分类的明细情况</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2022年</w:t>
      </w:r>
      <w:r>
        <w:rPr>
          <w:rFonts w:hint="eastAsia"/>
          <w:color w:val="auto"/>
          <w:highlight w:val="none"/>
          <w:lang w:val="en-US" w:eastAsia="zh-CN"/>
        </w:rPr>
        <w:t>当年</w:t>
      </w:r>
      <w:r>
        <w:rPr>
          <w:rFonts w:hint="eastAsia"/>
          <w:color w:val="auto"/>
          <w:highlight w:val="none"/>
        </w:rPr>
        <w:t>一般公共预算支出</w:t>
      </w:r>
      <w:r>
        <w:rPr>
          <w:rFonts w:hint="eastAsia"/>
          <w:lang w:val="en-US" w:eastAsia="zh-CN"/>
        </w:rPr>
        <w:t>4737.86</w:t>
      </w:r>
      <w:r>
        <w:rPr>
          <w:rFonts w:hint="eastAsia"/>
          <w:color w:val="auto"/>
          <w:highlight w:val="none"/>
        </w:rPr>
        <w:t>万元</w:t>
      </w:r>
      <w:r>
        <w:rPr>
          <w:rFonts w:hint="eastAsia"/>
          <w:color w:val="auto"/>
          <w:highlight w:val="none"/>
          <w:lang w:val="en-US" w:eastAsia="zh-CN"/>
        </w:rPr>
        <w:t>（含专项资金1310.50万元）</w:t>
      </w:r>
      <w:r>
        <w:rPr>
          <w:rFonts w:hint="eastAsia"/>
          <w:color w:val="auto"/>
          <w:highlight w:val="none"/>
        </w:rPr>
        <w:t>，其中：</w:t>
      </w:r>
    </w:p>
    <w:p>
      <w:pPr>
        <w:bidi w:val="0"/>
        <w:rPr>
          <w:rFonts w:hint="eastAsia"/>
          <w:color w:val="auto"/>
          <w:highlight w:val="none"/>
          <w:lang w:val="en-US" w:eastAsia="zh-CN"/>
        </w:rPr>
      </w:pPr>
      <w:r>
        <w:rPr>
          <w:rFonts w:hint="eastAsia"/>
          <w:color w:val="auto"/>
          <w:highlight w:val="none"/>
          <w:lang w:val="en-US" w:eastAsia="zh-CN"/>
        </w:rPr>
        <w:t>(1)机关事业单位基本养老保险缴费（2080505）290.52万元，同口径较上年增加1.47万元，主要原因是工资普调造成养老保险缴费基数上涨所致；</w:t>
      </w:r>
    </w:p>
    <w:p>
      <w:pPr>
        <w:bidi w:val="0"/>
        <w:rPr>
          <w:rFonts w:hint="default"/>
          <w:color w:val="auto"/>
          <w:highlight w:val="none"/>
          <w:lang w:val="en-US" w:eastAsia="zh-CN"/>
        </w:rPr>
      </w:pPr>
      <w:r>
        <w:rPr>
          <w:rFonts w:hint="eastAsia"/>
          <w:color w:val="auto"/>
          <w:highlight w:val="none"/>
          <w:lang w:val="en-US" w:eastAsia="zh-CN"/>
        </w:rPr>
        <w:t>(2)机关事业单位职业年金缴费（2080506）145.26万元，同口径较上年增加0.73万元，主要原因是工资普调造成职业年金缴费基数上涨所致；</w:t>
      </w:r>
    </w:p>
    <w:p>
      <w:pPr>
        <w:bidi w:val="0"/>
        <w:rPr>
          <w:rFonts w:hint="default"/>
          <w:color w:val="auto"/>
          <w:highlight w:val="none"/>
          <w:lang w:val="en-US" w:eastAsia="zh-CN"/>
        </w:rPr>
      </w:pPr>
      <w:r>
        <w:rPr>
          <w:rFonts w:hint="eastAsia"/>
          <w:color w:val="auto"/>
          <w:highlight w:val="none"/>
          <w:lang w:val="en-US" w:eastAsia="zh-CN"/>
        </w:rPr>
        <w:t>(3)行政单位医疗（2101101）95.26万元，同口径较上年减少25.11万元，主要原因是参照公务员管理事业单位医疗保险纳入事业单位医疗（2101102）科目预算所致；</w:t>
      </w:r>
    </w:p>
    <w:p>
      <w:pPr>
        <w:bidi w:val="0"/>
        <w:rPr>
          <w:rFonts w:hint="eastAsia"/>
          <w:color w:val="auto"/>
          <w:highlight w:val="none"/>
          <w:lang w:val="en-US" w:eastAsia="zh-CN"/>
        </w:rPr>
      </w:pPr>
      <w:r>
        <w:rPr>
          <w:rFonts w:hint="eastAsia"/>
          <w:color w:val="auto"/>
          <w:highlight w:val="none"/>
          <w:lang w:val="en-US" w:eastAsia="zh-CN"/>
        </w:rPr>
        <w:t>(4)事业单位医疗（2101102）57.54万元，同口径较上年增加32.08万元，主要原因是参照公务员管理事业单位医疗保险纳入本科目科目预算，且工资普调造成医疗保险缴费基数上涨所致；</w:t>
      </w:r>
    </w:p>
    <w:p>
      <w:pPr>
        <w:bidi w:val="0"/>
        <w:rPr>
          <w:rFonts w:hint="eastAsia"/>
          <w:color w:val="auto"/>
          <w:highlight w:val="none"/>
          <w:lang w:val="en-US" w:eastAsia="zh-CN"/>
        </w:rPr>
      </w:pPr>
      <w:r>
        <w:rPr>
          <w:rFonts w:hint="eastAsia"/>
          <w:color w:val="auto"/>
          <w:highlight w:val="none"/>
          <w:lang w:val="en-US" w:eastAsia="zh-CN"/>
        </w:rPr>
        <w:t>(5)城乡社区规划与管理（2120201）0万元，同口径较上年减少1000.00万元，主要原因是2022年</w:t>
      </w:r>
      <w:r>
        <w:rPr>
          <w:rFonts w:hint="eastAsia"/>
          <w:lang w:val="en-US" w:eastAsia="zh-CN"/>
        </w:rPr>
        <w:t>国土空间总体规划、控制性详细规划等经费纳入自然资源规划及管理（2200104）科目预算所致；</w:t>
      </w:r>
    </w:p>
    <w:p>
      <w:pPr>
        <w:bidi w:val="0"/>
        <w:rPr>
          <w:rFonts w:hint="eastAsia"/>
          <w:color w:val="auto"/>
          <w:highlight w:val="none"/>
          <w:lang w:val="en-US" w:eastAsia="zh-CN"/>
        </w:rPr>
      </w:pPr>
      <w:r>
        <w:rPr>
          <w:rFonts w:hint="eastAsia"/>
          <w:color w:val="auto"/>
          <w:highlight w:val="none"/>
          <w:lang w:val="en-US" w:eastAsia="zh-CN"/>
        </w:rPr>
        <w:t>(6)</w:t>
      </w:r>
      <w:r>
        <w:rPr>
          <w:rFonts w:hint="eastAsia"/>
          <w:color w:val="auto"/>
          <w:highlight w:val="none"/>
          <w:lang w:eastAsia="zh-CN"/>
        </w:rPr>
        <w:t>行政运行（</w:t>
      </w:r>
      <w:r>
        <w:rPr>
          <w:rFonts w:hint="eastAsia"/>
          <w:color w:val="auto"/>
          <w:highlight w:val="none"/>
          <w:lang w:val="en-US" w:eastAsia="zh-CN"/>
        </w:rPr>
        <w:t>2200101</w:t>
      </w:r>
      <w:r>
        <w:rPr>
          <w:rFonts w:hint="eastAsia"/>
          <w:color w:val="auto"/>
          <w:highlight w:val="none"/>
          <w:lang w:eastAsia="zh-CN"/>
        </w:rPr>
        <w:t>）</w:t>
      </w:r>
      <w:r>
        <w:rPr>
          <w:rFonts w:hint="eastAsia"/>
          <w:color w:val="auto"/>
          <w:highlight w:val="none"/>
          <w:lang w:val="en-US" w:eastAsia="zh-CN"/>
        </w:rPr>
        <w:t>1450.51</w:t>
      </w:r>
      <w:r>
        <w:rPr>
          <w:rFonts w:hint="eastAsia"/>
          <w:color w:val="auto"/>
          <w:highlight w:val="none"/>
          <w:lang w:eastAsia="zh-CN"/>
        </w:rPr>
        <w:t>万元，</w:t>
      </w:r>
      <w:r>
        <w:rPr>
          <w:rFonts w:hint="eastAsia"/>
          <w:color w:val="auto"/>
          <w:highlight w:val="none"/>
          <w:lang w:val="en-US" w:eastAsia="zh-CN"/>
        </w:rPr>
        <w:t>同口径</w:t>
      </w:r>
      <w:r>
        <w:rPr>
          <w:rFonts w:hint="eastAsia"/>
          <w:color w:val="auto"/>
          <w:highlight w:val="none"/>
          <w:lang w:eastAsia="zh-CN"/>
        </w:rPr>
        <w:t>较</w:t>
      </w:r>
      <w:r>
        <w:rPr>
          <w:rFonts w:hint="eastAsia"/>
          <w:color w:val="auto"/>
          <w:highlight w:val="none"/>
          <w:lang w:val="en-US" w:eastAsia="zh-CN"/>
        </w:rPr>
        <w:t>上年增加146.79万元，主要原因是工资普调、行政中心之外办公单位水电、物业补助增加所致；</w:t>
      </w:r>
    </w:p>
    <w:p>
      <w:pPr>
        <w:bidi w:val="0"/>
        <w:rPr>
          <w:rFonts w:hint="default"/>
          <w:color w:val="auto"/>
          <w:highlight w:val="none"/>
          <w:lang w:val="en-US" w:eastAsia="zh-CN"/>
        </w:rPr>
      </w:pPr>
      <w:r>
        <w:rPr>
          <w:rFonts w:hint="eastAsia"/>
          <w:color w:val="auto"/>
          <w:highlight w:val="none"/>
          <w:lang w:val="en-US" w:eastAsia="zh-CN"/>
        </w:rPr>
        <w:t>(7)</w:t>
      </w:r>
      <w:r>
        <w:rPr>
          <w:rFonts w:hint="eastAsia"/>
          <w:color w:val="auto"/>
          <w:highlight w:val="none"/>
          <w:lang w:eastAsia="zh-CN"/>
        </w:rPr>
        <w:t>事业运行（</w:t>
      </w:r>
      <w:r>
        <w:rPr>
          <w:rFonts w:hint="eastAsia"/>
          <w:color w:val="auto"/>
          <w:highlight w:val="none"/>
          <w:lang w:val="en-US" w:eastAsia="zh-CN"/>
        </w:rPr>
        <w:t>2200150</w:t>
      </w:r>
      <w:r>
        <w:rPr>
          <w:rFonts w:hint="eastAsia"/>
          <w:color w:val="auto"/>
          <w:highlight w:val="none"/>
          <w:lang w:eastAsia="zh-CN"/>
        </w:rPr>
        <w:t>）</w:t>
      </w:r>
      <w:r>
        <w:rPr>
          <w:rFonts w:hint="eastAsia"/>
          <w:color w:val="auto"/>
          <w:highlight w:val="none"/>
          <w:lang w:val="en-US" w:eastAsia="zh-CN"/>
        </w:rPr>
        <w:t>1051.60万元</w:t>
      </w:r>
      <w:r>
        <w:rPr>
          <w:rFonts w:hint="eastAsia"/>
          <w:color w:val="auto"/>
          <w:highlight w:val="none"/>
          <w:lang w:eastAsia="zh-CN"/>
        </w:rPr>
        <w:t>，</w:t>
      </w:r>
      <w:r>
        <w:rPr>
          <w:rFonts w:hint="eastAsia"/>
          <w:color w:val="auto"/>
          <w:highlight w:val="none"/>
          <w:lang w:val="en-US" w:eastAsia="zh-CN"/>
        </w:rPr>
        <w:t>同口径</w:t>
      </w:r>
      <w:r>
        <w:rPr>
          <w:rFonts w:hint="eastAsia"/>
          <w:color w:val="auto"/>
          <w:highlight w:val="none"/>
          <w:lang w:eastAsia="zh-CN"/>
        </w:rPr>
        <w:t>较上年</w:t>
      </w:r>
      <w:r>
        <w:rPr>
          <w:rFonts w:hint="eastAsia"/>
          <w:color w:val="auto"/>
          <w:highlight w:val="none"/>
          <w:lang w:val="en-US" w:eastAsia="zh-CN"/>
        </w:rPr>
        <w:t>增加101.58</w:t>
      </w:r>
      <w:r>
        <w:rPr>
          <w:rFonts w:hint="eastAsia"/>
          <w:color w:val="auto"/>
          <w:highlight w:val="none"/>
          <w:lang w:eastAsia="zh-CN"/>
        </w:rPr>
        <w:t>万元，</w:t>
      </w:r>
      <w:r>
        <w:rPr>
          <w:rFonts w:hint="eastAsia"/>
          <w:color w:val="auto"/>
          <w:highlight w:val="none"/>
          <w:lang w:val="en-US" w:eastAsia="zh-CN"/>
        </w:rPr>
        <w:t>主要原因是工资普调、行政中心之外办公单位水电、物业补助增加所致；</w:t>
      </w:r>
    </w:p>
    <w:p>
      <w:pPr>
        <w:bidi w:val="0"/>
        <w:rPr>
          <w:rFonts w:hint="eastAsia"/>
          <w:color w:val="auto"/>
          <w:highlight w:val="none"/>
          <w:lang w:val="en-US" w:eastAsia="zh-CN"/>
        </w:rPr>
      </w:pPr>
      <w:r>
        <w:rPr>
          <w:rFonts w:hint="eastAsia"/>
          <w:color w:val="auto"/>
          <w:highlight w:val="none"/>
          <w:lang w:val="en-US" w:eastAsia="zh-CN"/>
        </w:rPr>
        <w:t>(8)住房公积金（2210201）220.48万元，同口径较上年增加1.42万元，主要原因是工资普调所致；</w:t>
      </w:r>
    </w:p>
    <w:p>
      <w:pPr>
        <w:bidi w:val="0"/>
        <w:rPr>
          <w:rFonts w:hint="eastAsia"/>
          <w:color w:val="auto"/>
          <w:highlight w:val="none"/>
          <w:lang w:val="en-US" w:eastAsia="zh-CN"/>
        </w:rPr>
      </w:pPr>
      <w:r>
        <w:rPr>
          <w:rFonts w:hint="eastAsia"/>
          <w:color w:val="auto"/>
          <w:highlight w:val="none"/>
          <w:lang w:val="en-US" w:eastAsia="zh-CN"/>
        </w:rPr>
        <w:t>(9)地质灾害防治（2240601）350.50万元，同口径较上年增加50万元，主要原因是2022年</w:t>
      </w:r>
      <w:r>
        <w:rPr>
          <w:rFonts w:hint="eastAsia"/>
          <w:lang w:val="en-US" w:eastAsia="zh-CN"/>
        </w:rPr>
        <w:t>地灾防治任务造成专项资金预算减少所致</w:t>
      </w:r>
      <w:r>
        <w:rPr>
          <w:rFonts w:hint="eastAsia"/>
          <w:color w:val="auto"/>
          <w:highlight w:val="none"/>
          <w:lang w:val="en-US" w:eastAsia="zh-CN"/>
        </w:rPr>
        <w:t>；</w:t>
      </w:r>
    </w:p>
    <w:p>
      <w:pPr>
        <w:bidi w:val="0"/>
        <w:rPr>
          <w:rFonts w:hint="default"/>
          <w:color w:val="auto"/>
          <w:highlight w:val="none"/>
          <w:lang w:val="en-US" w:eastAsia="zh-CN"/>
        </w:rPr>
      </w:pPr>
      <w:r>
        <w:rPr>
          <w:rFonts w:hint="eastAsia"/>
          <w:color w:val="auto"/>
          <w:highlight w:val="none"/>
          <w:lang w:val="en-US" w:eastAsia="zh-CN"/>
        </w:rPr>
        <w:t>(10)</w:t>
      </w:r>
      <w:r>
        <w:rPr>
          <w:rFonts w:hint="eastAsia"/>
          <w:lang w:val="en-US" w:eastAsia="zh-CN"/>
        </w:rPr>
        <w:t>自然资源规划及管理（2200104）960万元，</w:t>
      </w:r>
      <w:r>
        <w:rPr>
          <w:rFonts w:hint="eastAsia"/>
          <w:color w:val="auto"/>
          <w:highlight w:val="none"/>
          <w:lang w:val="en-US" w:eastAsia="zh-CN"/>
        </w:rPr>
        <w:t>同口径较上年增加960万元，主要原因是2022年</w:t>
      </w:r>
      <w:r>
        <w:rPr>
          <w:rFonts w:hint="eastAsia"/>
          <w:lang w:val="en-US" w:eastAsia="zh-CN"/>
        </w:rPr>
        <w:t>国土空间总体规划、控制性详细规划等经费纳入本科目预算所致</w:t>
      </w:r>
      <w:r>
        <w:rPr>
          <w:rFonts w:hint="eastAsia"/>
          <w:color w:val="auto"/>
          <w:highlight w:val="none"/>
          <w:lang w:val="en-US" w:eastAsia="zh-CN"/>
        </w:rPr>
        <w:t>。</w:t>
      </w:r>
    </w:p>
    <w:p>
      <w:pPr>
        <w:bidi w:val="0"/>
        <w:ind w:left="0" w:leftChars="0" w:firstLine="0" w:firstLineChars="0"/>
        <w:jc w:val="center"/>
        <w:rPr>
          <w:rFonts w:hint="default"/>
          <w:color w:val="auto"/>
          <w:highlight w:val="none"/>
          <w:lang w:val="en-US" w:eastAsia="zh-CN"/>
        </w:rPr>
      </w:pPr>
      <w:r>
        <w:drawing>
          <wp:inline distT="0" distB="0" distL="114300" distR="114300">
            <wp:extent cx="5611495" cy="2964815"/>
            <wp:effectExtent l="0" t="0" r="12065" b="698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5611495" cy="2964815"/>
                    </a:xfrm>
                    <a:prstGeom prst="rect">
                      <a:avLst/>
                    </a:prstGeom>
                    <a:noFill/>
                    <a:ln>
                      <a:noFill/>
                    </a:ln>
                  </pic:spPr>
                </pic:pic>
              </a:graphicData>
            </a:graphic>
          </wp:inline>
        </w:drawing>
      </w:r>
    </w:p>
    <w:p>
      <w:pPr>
        <w:pStyle w:val="4"/>
        <w:bidi w:val="0"/>
        <w:rPr>
          <w:rFonts w:hint="eastAsia"/>
          <w:color w:val="auto"/>
          <w:highlight w:val="none"/>
        </w:rPr>
      </w:pPr>
      <w:r>
        <w:rPr>
          <w:rFonts w:hint="eastAsia"/>
          <w:color w:val="auto"/>
          <w:highlight w:val="none"/>
        </w:rPr>
        <w:t>支出按经济科目分类的明细情况</w:t>
      </w:r>
    </w:p>
    <w:p>
      <w:pPr>
        <w:bidi w:val="0"/>
        <w:rPr>
          <w:rFonts w:hint="eastAsia"/>
          <w:color w:val="auto"/>
          <w:highlight w:val="none"/>
          <w:lang w:eastAsia="zh-CN"/>
        </w:rPr>
      </w:pPr>
      <w:r>
        <w:rPr>
          <w:rFonts w:hint="eastAsia"/>
          <w:color w:val="auto"/>
          <w:lang w:val="en-US" w:eastAsia="zh-CN"/>
        </w:rPr>
        <w:t>(1)</w:t>
      </w:r>
      <w:r>
        <w:rPr>
          <w:rFonts w:hint="eastAsia"/>
          <w:color w:val="auto"/>
          <w:highlight w:val="none"/>
          <w:lang w:eastAsia="zh-CN"/>
        </w:rPr>
        <w:t>按照部门预算支出经济分类的类级科目说明</w:t>
      </w:r>
    </w:p>
    <w:p>
      <w:pPr>
        <w:bidi w:val="0"/>
        <w:rPr>
          <w:rFonts w:hint="eastAsia"/>
        </w:rPr>
      </w:pPr>
      <w:r>
        <w:rPr>
          <w:rFonts w:hint="eastAsia"/>
          <w:color w:val="auto"/>
          <w:highlight w:val="none"/>
          <w:lang w:eastAsia="zh-CN"/>
        </w:rPr>
        <w:t>2022年</w:t>
      </w:r>
      <w:r>
        <w:rPr>
          <w:rFonts w:hint="eastAsia"/>
          <w:color w:val="auto"/>
          <w:highlight w:val="none"/>
          <w:lang w:val="en-US" w:eastAsia="zh-CN"/>
        </w:rPr>
        <w:t>当年</w:t>
      </w:r>
      <w:r>
        <w:rPr>
          <w:rFonts w:hint="eastAsia"/>
          <w:color w:val="auto"/>
          <w:highlight w:val="none"/>
        </w:rPr>
        <w:t>本部门一般公共预算支出</w:t>
      </w:r>
      <w:r>
        <w:rPr>
          <w:rFonts w:hint="eastAsia"/>
          <w:lang w:val="en-US" w:eastAsia="zh-CN"/>
        </w:rPr>
        <w:t>4737.86</w:t>
      </w:r>
      <w:r>
        <w:rPr>
          <w:rFonts w:hint="eastAsia"/>
          <w:color w:val="auto"/>
          <w:highlight w:val="none"/>
        </w:rPr>
        <w:t>万元</w:t>
      </w:r>
      <w:r>
        <w:rPr>
          <w:rFonts w:hint="eastAsia"/>
          <w:color w:val="auto"/>
          <w:highlight w:val="none"/>
          <w:lang w:val="en-US" w:eastAsia="zh-CN"/>
        </w:rPr>
        <w:t>（含专项</w:t>
      </w:r>
      <w:r>
        <w:rPr>
          <w:rFonts w:hint="eastAsia"/>
          <w:lang w:val="en-US" w:eastAsia="zh-CN"/>
        </w:rPr>
        <w:t>资金1310.50万元）</w:t>
      </w:r>
      <w:r>
        <w:rPr>
          <w:rFonts w:hint="eastAsia"/>
        </w:rPr>
        <w:t>，</w:t>
      </w:r>
      <w:r>
        <w:rPr>
          <w:rFonts w:hint="eastAsia"/>
          <w:lang w:val="en-US" w:eastAsia="zh-CN"/>
        </w:rPr>
        <w:t>包括人员经费和公用经费支出3427.36万元、专项业务经费支出1310.50万元</w:t>
      </w:r>
      <w:r>
        <w:rPr>
          <w:rFonts w:hint="eastAsia"/>
        </w:rPr>
        <w:t>：</w:t>
      </w:r>
    </w:p>
    <w:p>
      <w:pPr>
        <w:bidi w:val="0"/>
        <w:rPr>
          <w:rFonts w:hint="default" w:eastAsia="仿宋_GB2312"/>
          <w:lang w:val="en-US" w:eastAsia="zh-CN"/>
        </w:rPr>
      </w:pPr>
      <w:r>
        <w:rPr>
          <w:rFonts w:hint="eastAsia"/>
          <w:lang w:val="en-US" w:eastAsia="zh-CN"/>
        </w:rPr>
        <w:t>①人员经费和公用经费支出3427.36万元，其中：</w:t>
      </w:r>
    </w:p>
    <w:p>
      <w:pPr>
        <w:bidi w:val="0"/>
        <w:rPr>
          <w:rFonts w:hint="eastAsia"/>
        </w:rPr>
      </w:pPr>
      <w:r>
        <w:rPr>
          <w:rFonts w:hint="eastAsia"/>
        </w:rPr>
        <w:t>工资福利支出（301）</w:t>
      </w:r>
      <w:r>
        <w:rPr>
          <w:rFonts w:hint="eastAsia"/>
          <w:lang w:val="en-US" w:eastAsia="zh-CN"/>
        </w:rPr>
        <w:t>2993.22</w:t>
      </w:r>
      <w:r>
        <w:rPr>
          <w:rFonts w:hint="eastAsia"/>
        </w:rPr>
        <w:t>万元，</w:t>
      </w:r>
      <w:r>
        <w:rPr>
          <w:rFonts w:hint="eastAsia"/>
          <w:lang w:eastAsia="zh-CN"/>
        </w:rPr>
        <w:t>较上年</w:t>
      </w:r>
      <w:r>
        <w:rPr>
          <w:rFonts w:hint="eastAsia"/>
          <w:lang w:val="en-US" w:eastAsia="zh-CN"/>
        </w:rPr>
        <w:t>增加280.77</w:t>
      </w:r>
      <w:r>
        <w:rPr>
          <w:rFonts w:hint="eastAsia"/>
        </w:rPr>
        <w:t>万元，</w:t>
      </w:r>
      <w:r>
        <w:rPr>
          <w:rFonts w:hint="eastAsia"/>
          <w:lang w:val="en-US" w:eastAsia="zh-CN"/>
        </w:rPr>
        <w:t>主要</w:t>
      </w:r>
      <w:r>
        <w:rPr>
          <w:rFonts w:hint="eastAsia"/>
        </w:rPr>
        <w:t>原因是</w:t>
      </w:r>
      <w:r>
        <w:rPr>
          <w:rFonts w:hint="eastAsia"/>
          <w:color w:val="auto"/>
          <w:highlight w:val="none"/>
          <w:lang w:val="en-US" w:eastAsia="zh-CN"/>
        </w:rPr>
        <w:t>工资普调、“五险一金”缴费基数上涨、</w:t>
      </w:r>
      <w:r>
        <w:rPr>
          <w:rFonts w:hint="eastAsia"/>
          <w:lang w:val="en-US" w:eastAsia="zh-CN"/>
        </w:rPr>
        <w:t>机构改革勘测设计院人员增多财政定补金额增加等所致</w:t>
      </w:r>
      <w:r>
        <w:rPr>
          <w:rFonts w:hint="eastAsia"/>
        </w:rPr>
        <w:t>；</w:t>
      </w:r>
    </w:p>
    <w:p>
      <w:pPr>
        <w:bidi w:val="0"/>
        <w:rPr>
          <w:rFonts w:hint="eastAsia"/>
        </w:rPr>
      </w:pPr>
      <w:r>
        <w:rPr>
          <w:rFonts w:hint="eastAsia"/>
        </w:rPr>
        <w:t>商品和服务支出（302）</w:t>
      </w:r>
      <w:r>
        <w:rPr>
          <w:rFonts w:hint="eastAsia"/>
          <w:lang w:val="en-US" w:eastAsia="zh-CN"/>
        </w:rPr>
        <w:t>334.24</w:t>
      </w:r>
      <w:r>
        <w:rPr>
          <w:rFonts w:hint="eastAsia"/>
        </w:rPr>
        <w:t>万元，</w:t>
      </w:r>
      <w:r>
        <w:rPr>
          <w:rFonts w:hint="eastAsia"/>
          <w:lang w:eastAsia="zh-CN"/>
        </w:rPr>
        <w:t>较上年</w:t>
      </w:r>
      <w:r>
        <w:rPr>
          <w:rFonts w:hint="eastAsia"/>
          <w:lang w:val="en-US" w:eastAsia="zh-CN"/>
        </w:rPr>
        <w:t>增加95.64</w:t>
      </w:r>
      <w:r>
        <w:rPr>
          <w:rFonts w:hint="eastAsia"/>
        </w:rPr>
        <w:t>万元，</w:t>
      </w:r>
      <w:r>
        <w:rPr>
          <w:rFonts w:hint="eastAsia"/>
          <w:color w:val="auto"/>
          <w:highlight w:val="none"/>
          <w:lang w:val="en-US" w:eastAsia="zh-CN"/>
        </w:rPr>
        <w:t>主要</w:t>
      </w:r>
      <w:r>
        <w:rPr>
          <w:rFonts w:hint="eastAsia"/>
        </w:rPr>
        <w:t>原因是</w:t>
      </w:r>
      <w:r>
        <w:rPr>
          <w:rFonts w:hint="eastAsia"/>
          <w:color w:val="auto"/>
          <w:highlight w:val="none"/>
          <w:lang w:val="en-US" w:eastAsia="zh-CN"/>
        </w:rPr>
        <w:t>行政中心之外办公单位水电、物业补助增加所致</w:t>
      </w:r>
      <w:r>
        <w:rPr>
          <w:rFonts w:hint="eastAsia"/>
        </w:rPr>
        <w:t>；</w:t>
      </w:r>
    </w:p>
    <w:p>
      <w:pPr>
        <w:bidi w:val="0"/>
        <w:rPr>
          <w:rFonts w:hint="eastAsia"/>
          <w:lang w:val="en-US" w:eastAsia="zh-CN"/>
        </w:rPr>
      </w:pPr>
      <w:r>
        <w:rPr>
          <w:rFonts w:hint="eastAsia"/>
        </w:rPr>
        <w:t>对个人和家庭的补助支出（303）</w:t>
      </w:r>
      <w:r>
        <w:rPr>
          <w:rFonts w:hint="eastAsia"/>
          <w:lang w:val="en-US" w:eastAsia="zh-CN"/>
        </w:rPr>
        <w:t>5.52</w:t>
      </w:r>
      <w:r>
        <w:rPr>
          <w:rFonts w:hint="eastAsia"/>
        </w:rPr>
        <w:t>万元，</w:t>
      </w:r>
      <w:r>
        <w:rPr>
          <w:rFonts w:hint="eastAsia"/>
          <w:lang w:eastAsia="zh-CN"/>
        </w:rPr>
        <w:t>较上年</w:t>
      </w:r>
      <w:r>
        <w:rPr>
          <w:rFonts w:hint="eastAsia"/>
          <w:lang w:val="en-US" w:eastAsia="zh-CN"/>
        </w:rPr>
        <w:t>减少1.26</w:t>
      </w:r>
      <w:r>
        <w:rPr>
          <w:rFonts w:hint="eastAsia"/>
        </w:rPr>
        <w:t>万元，</w:t>
      </w:r>
      <w:r>
        <w:rPr>
          <w:rFonts w:hint="eastAsia"/>
          <w:lang w:val="en-US" w:eastAsia="zh-CN"/>
        </w:rPr>
        <w:t>主要</w:t>
      </w:r>
      <w:r>
        <w:rPr>
          <w:rFonts w:hint="eastAsia"/>
        </w:rPr>
        <w:t>原因是</w:t>
      </w:r>
      <w:r>
        <w:rPr>
          <w:rFonts w:hint="eastAsia"/>
          <w:lang w:val="en-US" w:eastAsia="zh-CN"/>
        </w:rPr>
        <w:t>遗属人员减少所致；</w:t>
      </w:r>
    </w:p>
    <w:p>
      <w:pPr>
        <w:bidi w:val="0"/>
        <w:ind w:left="0" w:leftChars="0" w:firstLine="0" w:firstLineChars="0"/>
        <w:jc w:val="center"/>
        <w:rPr>
          <w:rFonts w:hint="eastAsia"/>
          <w:lang w:val="en-US" w:eastAsia="zh-CN"/>
        </w:rPr>
      </w:pPr>
      <w:r>
        <w:drawing>
          <wp:inline distT="0" distB="0" distL="114300" distR="114300">
            <wp:extent cx="5359400" cy="3036570"/>
            <wp:effectExtent l="0" t="0" r="5080" b="1143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4"/>
                    <a:stretch>
                      <a:fillRect/>
                    </a:stretch>
                  </pic:blipFill>
                  <pic:spPr>
                    <a:xfrm>
                      <a:off x="0" y="0"/>
                      <a:ext cx="5359400" cy="3036570"/>
                    </a:xfrm>
                    <a:prstGeom prst="rect">
                      <a:avLst/>
                    </a:prstGeom>
                    <a:noFill/>
                    <a:ln>
                      <a:noFill/>
                    </a:ln>
                  </pic:spPr>
                </pic:pic>
              </a:graphicData>
            </a:graphic>
          </wp:inline>
        </w:drawing>
      </w:r>
    </w:p>
    <w:p>
      <w:pPr>
        <w:bidi w:val="0"/>
        <w:rPr>
          <w:rFonts w:hint="eastAsia"/>
          <w:lang w:val="en-US" w:eastAsia="zh-CN"/>
        </w:rPr>
      </w:pPr>
      <w:r>
        <w:rPr>
          <w:rFonts w:hint="eastAsia"/>
          <w:lang w:val="en-US" w:eastAsia="zh-CN"/>
        </w:rPr>
        <w:t>②专项业务经费支出1310.50万元，其中：</w:t>
      </w:r>
    </w:p>
    <w:p>
      <w:pPr>
        <w:bidi w:val="0"/>
        <w:rPr>
          <w:rFonts w:hint="eastAsia"/>
          <w:color w:val="auto"/>
          <w:highlight w:val="none"/>
          <w:lang w:val="en-US" w:eastAsia="zh-CN"/>
        </w:rPr>
      </w:pPr>
      <w:r>
        <w:rPr>
          <w:rFonts w:hint="eastAsia"/>
        </w:rPr>
        <w:t>工资福利支出（301）</w:t>
      </w:r>
      <w:r>
        <w:rPr>
          <w:rFonts w:hint="eastAsia"/>
          <w:lang w:val="en-US" w:eastAsia="zh-CN"/>
        </w:rPr>
        <w:t>0</w:t>
      </w:r>
      <w:r>
        <w:rPr>
          <w:rFonts w:hint="eastAsia"/>
        </w:rPr>
        <w:t>万元</w:t>
      </w:r>
      <w:r>
        <w:rPr>
          <w:rFonts w:hint="eastAsia"/>
          <w:lang w:eastAsia="zh-CN"/>
        </w:rPr>
        <w:t>，较上年</w:t>
      </w:r>
      <w:r>
        <w:rPr>
          <w:rFonts w:hint="eastAsia"/>
          <w:lang w:val="en-US" w:eastAsia="zh-CN"/>
        </w:rPr>
        <w:t>减少5</w:t>
      </w:r>
      <w:r>
        <w:rPr>
          <w:rFonts w:hint="eastAsia"/>
        </w:rPr>
        <w:t>万元，</w:t>
      </w:r>
      <w:r>
        <w:rPr>
          <w:rFonts w:hint="eastAsia"/>
          <w:lang w:val="en-US" w:eastAsia="zh-CN"/>
        </w:rPr>
        <w:t>主要</w:t>
      </w:r>
      <w:r>
        <w:rPr>
          <w:rFonts w:hint="eastAsia"/>
        </w:rPr>
        <w:t>原因</w:t>
      </w:r>
      <w:r>
        <w:rPr>
          <w:rFonts w:hint="eastAsia"/>
          <w:lang w:val="en-US" w:eastAsia="zh-CN"/>
        </w:rPr>
        <w:t>是地质灾害隐患点监测员工资补助纳入商品和服务支出预算</w:t>
      </w:r>
      <w:r>
        <w:rPr>
          <w:rFonts w:hint="eastAsia"/>
          <w:color w:val="auto"/>
          <w:highlight w:val="none"/>
          <w:lang w:val="en-US" w:eastAsia="zh-CN"/>
        </w:rPr>
        <w:t>；</w:t>
      </w:r>
    </w:p>
    <w:p>
      <w:pPr>
        <w:bidi w:val="0"/>
        <w:rPr>
          <w:rFonts w:hint="eastAsia"/>
          <w:color w:val="auto"/>
          <w:highlight w:val="none"/>
          <w:lang w:val="en-US" w:eastAsia="zh-CN"/>
        </w:rPr>
      </w:pPr>
      <w:r>
        <w:rPr>
          <w:rFonts w:hint="eastAsia"/>
        </w:rPr>
        <w:t>商品和服务支出（302）</w:t>
      </w:r>
      <w:r>
        <w:rPr>
          <w:rFonts w:hint="eastAsia"/>
          <w:lang w:val="en-US" w:eastAsia="zh-CN"/>
        </w:rPr>
        <w:t>1310.50</w:t>
      </w:r>
      <w:r>
        <w:rPr>
          <w:rFonts w:hint="eastAsia"/>
        </w:rPr>
        <w:t>万元，</w:t>
      </w:r>
      <w:r>
        <w:rPr>
          <w:rFonts w:hint="eastAsia"/>
          <w:lang w:eastAsia="zh-CN"/>
        </w:rPr>
        <w:t>较上年</w:t>
      </w:r>
      <w:r>
        <w:rPr>
          <w:rFonts w:hint="eastAsia"/>
          <w:lang w:val="en-US" w:eastAsia="zh-CN"/>
        </w:rPr>
        <w:t>减少85</w:t>
      </w:r>
      <w:r>
        <w:rPr>
          <w:rFonts w:hint="eastAsia"/>
        </w:rPr>
        <w:t>万元，</w:t>
      </w:r>
      <w:r>
        <w:rPr>
          <w:rFonts w:hint="eastAsia"/>
          <w:color w:val="auto"/>
          <w:highlight w:val="none"/>
          <w:lang w:val="en-US" w:eastAsia="zh-CN"/>
        </w:rPr>
        <w:t>主要</w:t>
      </w:r>
      <w:r>
        <w:rPr>
          <w:rFonts w:hint="eastAsia"/>
        </w:rPr>
        <w:t>原因是</w:t>
      </w:r>
      <w:r>
        <w:rPr>
          <w:rFonts w:hint="eastAsia"/>
          <w:lang w:val="en-US" w:eastAsia="zh-CN"/>
        </w:rPr>
        <w:t>2022年国土空间总体规划、控制性详细规划编制及地灾防治任务造成专项资金预算减少所致</w:t>
      </w:r>
      <w:r>
        <w:rPr>
          <w:rFonts w:hint="eastAsia"/>
        </w:rPr>
        <w:t>；</w:t>
      </w:r>
    </w:p>
    <w:p>
      <w:pPr>
        <w:bidi w:val="0"/>
        <w:ind w:left="0" w:leftChars="0" w:firstLine="0" w:firstLineChars="0"/>
        <w:jc w:val="center"/>
        <w:rPr>
          <w:rFonts w:hint="eastAsia"/>
          <w:lang w:val="en-US" w:eastAsia="zh-CN"/>
        </w:rPr>
      </w:pPr>
      <w:r>
        <w:drawing>
          <wp:inline distT="0" distB="0" distL="114300" distR="114300">
            <wp:extent cx="5242560" cy="3092450"/>
            <wp:effectExtent l="0" t="0" r="0" b="127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5"/>
                    <a:stretch>
                      <a:fillRect/>
                    </a:stretch>
                  </pic:blipFill>
                  <pic:spPr>
                    <a:xfrm>
                      <a:off x="0" y="0"/>
                      <a:ext cx="5242560" cy="3092450"/>
                    </a:xfrm>
                    <a:prstGeom prst="rect">
                      <a:avLst/>
                    </a:prstGeom>
                    <a:noFill/>
                    <a:ln>
                      <a:noFill/>
                    </a:ln>
                  </pic:spPr>
                </pic:pic>
              </a:graphicData>
            </a:graphic>
          </wp:inline>
        </w:drawing>
      </w:r>
    </w:p>
    <w:p>
      <w:pPr>
        <w:bidi w:val="0"/>
        <w:rPr>
          <w:rFonts w:hint="eastAsia"/>
          <w:color w:val="auto"/>
          <w:highlight w:val="none"/>
        </w:rPr>
      </w:pPr>
      <w:r>
        <w:rPr>
          <w:rFonts w:hint="eastAsia"/>
          <w:color w:val="auto"/>
          <w:lang w:val="en-US" w:eastAsia="zh-CN"/>
        </w:rPr>
        <w:t>(2)</w:t>
      </w:r>
      <w:r>
        <w:rPr>
          <w:rFonts w:hint="eastAsia"/>
          <w:color w:val="auto"/>
          <w:highlight w:val="none"/>
        </w:rPr>
        <w:t>按照政府预算支出经济分类的类级科目说明</w:t>
      </w:r>
    </w:p>
    <w:p>
      <w:pPr>
        <w:bidi w:val="0"/>
        <w:rPr>
          <w:rFonts w:hint="eastAsia"/>
          <w:color w:val="auto"/>
          <w:highlight w:val="none"/>
        </w:rPr>
      </w:pPr>
      <w:r>
        <w:rPr>
          <w:rFonts w:hint="eastAsia"/>
          <w:color w:val="auto"/>
          <w:highlight w:val="none"/>
          <w:lang w:eastAsia="zh-CN"/>
        </w:rPr>
        <w:t>2022年</w:t>
      </w:r>
      <w:r>
        <w:rPr>
          <w:rFonts w:hint="eastAsia"/>
          <w:color w:val="auto"/>
          <w:highlight w:val="none"/>
          <w:lang w:val="en-US" w:eastAsia="zh-CN"/>
        </w:rPr>
        <w:t>当年</w:t>
      </w:r>
      <w:r>
        <w:rPr>
          <w:rFonts w:hint="eastAsia"/>
          <w:color w:val="auto"/>
          <w:highlight w:val="none"/>
        </w:rPr>
        <w:t>本部门一般公共预算支出</w:t>
      </w:r>
      <w:r>
        <w:rPr>
          <w:rFonts w:hint="eastAsia"/>
          <w:lang w:val="en-US" w:eastAsia="zh-CN"/>
        </w:rPr>
        <w:t>4737.86</w:t>
      </w:r>
      <w:r>
        <w:rPr>
          <w:rFonts w:hint="eastAsia"/>
          <w:color w:val="auto"/>
          <w:highlight w:val="none"/>
        </w:rPr>
        <w:t>万元（含专项资金</w:t>
      </w:r>
      <w:r>
        <w:rPr>
          <w:rFonts w:hint="eastAsia"/>
          <w:color w:val="auto"/>
          <w:highlight w:val="none"/>
          <w:lang w:val="en-US" w:eastAsia="zh-CN"/>
        </w:rPr>
        <w:t>1310.50</w:t>
      </w:r>
      <w:r>
        <w:rPr>
          <w:rFonts w:hint="eastAsia"/>
          <w:color w:val="auto"/>
          <w:highlight w:val="none"/>
        </w:rPr>
        <w:t>万元），其中：</w:t>
      </w:r>
    </w:p>
    <w:p>
      <w:pPr>
        <w:bidi w:val="0"/>
        <w:rPr>
          <w:rFonts w:hint="eastAsia"/>
        </w:rPr>
      </w:pPr>
      <w:r>
        <w:rPr>
          <w:rFonts w:hint="eastAsia"/>
        </w:rPr>
        <w:t>机关工资福利支出（501）</w:t>
      </w:r>
      <w:r>
        <w:rPr>
          <w:rFonts w:hint="eastAsia"/>
          <w:lang w:val="en-US" w:eastAsia="zh-CN"/>
        </w:rPr>
        <w:t>2227.11</w:t>
      </w:r>
      <w:r>
        <w:rPr>
          <w:rFonts w:hint="eastAsia"/>
        </w:rPr>
        <w:t>万元</w:t>
      </w:r>
      <w:r>
        <w:rPr>
          <w:rFonts w:hint="eastAsia"/>
          <w:lang w:eastAsia="zh-CN"/>
        </w:rPr>
        <w:t>，较上年</w:t>
      </w:r>
      <w:r>
        <w:rPr>
          <w:rFonts w:hint="eastAsia"/>
          <w:lang w:val="en-US" w:eastAsia="zh-CN"/>
        </w:rPr>
        <w:t>减少490.34</w:t>
      </w:r>
      <w:r>
        <w:rPr>
          <w:rFonts w:hint="eastAsia"/>
        </w:rPr>
        <w:t>万元，</w:t>
      </w:r>
      <w:r>
        <w:rPr>
          <w:rFonts w:hint="eastAsia"/>
          <w:lang w:val="en-US" w:eastAsia="zh-CN"/>
        </w:rPr>
        <w:t>主要</w:t>
      </w:r>
      <w:r>
        <w:rPr>
          <w:rFonts w:hint="eastAsia"/>
        </w:rPr>
        <w:t>原因是</w:t>
      </w:r>
      <w:r>
        <w:rPr>
          <w:rFonts w:hint="eastAsia"/>
          <w:color w:val="auto"/>
          <w:highlight w:val="none"/>
          <w:lang w:val="en-US" w:eastAsia="zh-CN"/>
        </w:rPr>
        <w:t>2022年非参照公务员管理事业单位工资福利支出纳入505科目预算</w:t>
      </w:r>
      <w:r>
        <w:rPr>
          <w:rFonts w:hint="eastAsia"/>
        </w:rPr>
        <w:t>；</w:t>
      </w:r>
    </w:p>
    <w:p>
      <w:pPr>
        <w:bidi w:val="0"/>
        <w:rPr>
          <w:rFonts w:hint="eastAsia"/>
        </w:rPr>
      </w:pPr>
      <w:r>
        <w:rPr>
          <w:rFonts w:hint="eastAsia"/>
        </w:rPr>
        <w:t>机关商品和服务支出（502）</w:t>
      </w:r>
      <w:r>
        <w:rPr>
          <w:rFonts w:hint="eastAsia"/>
          <w:lang w:val="en-US" w:eastAsia="zh-CN"/>
        </w:rPr>
        <w:t>1681.84</w:t>
      </w:r>
      <w:r>
        <w:rPr>
          <w:rFonts w:hint="eastAsia"/>
        </w:rPr>
        <w:t>万元（含专项资金</w:t>
      </w:r>
      <w:r>
        <w:rPr>
          <w:rFonts w:hint="eastAsia"/>
          <w:lang w:val="en-US" w:eastAsia="zh-CN"/>
        </w:rPr>
        <w:t>1310.50</w:t>
      </w:r>
      <w:r>
        <w:rPr>
          <w:rFonts w:hint="eastAsia"/>
        </w:rPr>
        <w:t>万元）</w:t>
      </w:r>
      <w:r>
        <w:rPr>
          <w:rFonts w:hint="eastAsia"/>
          <w:lang w:eastAsia="zh-CN"/>
        </w:rPr>
        <w:t>，较上年</w:t>
      </w:r>
      <w:r>
        <w:rPr>
          <w:rFonts w:hint="eastAsia"/>
          <w:lang w:val="en-US" w:eastAsia="zh-CN"/>
        </w:rPr>
        <w:t>减少47.9</w:t>
      </w:r>
      <w:r>
        <w:rPr>
          <w:rFonts w:hint="eastAsia"/>
        </w:rPr>
        <w:t>万元，</w:t>
      </w:r>
      <w:r>
        <w:rPr>
          <w:rFonts w:hint="eastAsia"/>
          <w:lang w:val="en-US" w:eastAsia="zh-CN"/>
        </w:rPr>
        <w:t>主要</w:t>
      </w:r>
      <w:r>
        <w:rPr>
          <w:rFonts w:hint="eastAsia"/>
        </w:rPr>
        <w:t>原因是</w:t>
      </w:r>
      <w:r>
        <w:rPr>
          <w:rFonts w:hint="eastAsia"/>
          <w:color w:val="auto"/>
          <w:highlight w:val="none"/>
          <w:lang w:val="en-US" w:eastAsia="zh-CN"/>
        </w:rPr>
        <w:t>2022年非参照公务员管理事业单位商品和服务支出纳入505科目预算</w:t>
      </w:r>
      <w:r>
        <w:rPr>
          <w:rFonts w:hint="eastAsia"/>
        </w:rPr>
        <w:t>；</w:t>
      </w:r>
    </w:p>
    <w:p>
      <w:pPr>
        <w:bidi w:val="0"/>
        <w:rPr>
          <w:rFonts w:hint="default" w:eastAsia="仿宋_GB2312"/>
          <w:lang w:val="en-US" w:eastAsia="zh-CN"/>
        </w:rPr>
      </w:pPr>
      <w:r>
        <w:rPr>
          <w:rFonts w:hint="eastAsia"/>
        </w:rPr>
        <w:t>对事业单位经常性补助</w:t>
      </w:r>
      <w:r>
        <w:rPr>
          <w:rFonts w:hint="eastAsia"/>
          <w:lang w:eastAsia="zh-CN"/>
        </w:rPr>
        <w:t>（</w:t>
      </w:r>
      <w:r>
        <w:rPr>
          <w:rFonts w:hint="eastAsia"/>
          <w:lang w:val="en-US" w:eastAsia="zh-CN"/>
        </w:rPr>
        <w:t>505</w:t>
      </w:r>
      <w:r>
        <w:rPr>
          <w:rFonts w:hint="eastAsia"/>
          <w:lang w:eastAsia="zh-CN"/>
        </w:rPr>
        <w:t>）</w:t>
      </w:r>
      <w:r>
        <w:rPr>
          <w:rFonts w:hint="eastAsia"/>
          <w:lang w:val="en-US" w:eastAsia="zh-CN"/>
        </w:rPr>
        <w:t>824.65万元，较上年增加824.65万元，主要原因是</w:t>
      </w:r>
      <w:r>
        <w:rPr>
          <w:rFonts w:hint="eastAsia"/>
          <w:color w:val="auto"/>
          <w:highlight w:val="none"/>
          <w:lang w:val="en-US" w:eastAsia="zh-CN"/>
        </w:rPr>
        <w:t>非参照公务员管理事业单位工资福利支出、商品和服务支出纳入本科目预算；</w:t>
      </w:r>
    </w:p>
    <w:p>
      <w:pPr>
        <w:bidi w:val="0"/>
        <w:rPr>
          <w:rFonts w:hint="eastAsia"/>
        </w:rPr>
      </w:pPr>
      <w:r>
        <w:rPr>
          <w:rFonts w:hint="eastAsia"/>
        </w:rPr>
        <w:t>对个人和家庭的补助（509）</w:t>
      </w:r>
      <w:r>
        <w:rPr>
          <w:rFonts w:hint="eastAsia"/>
          <w:lang w:val="en-US" w:eastAsia="zh-CN"/>
        </w:rPr>
        <w:t>5.52</w:t>
      </w:r>
      <w:r>
        <w:rPr>
          <w:rFonts w:hint="eastAsia"/>
        </w:rPr>
        <w:t>万元</w:t>
      </w:r>
      <w:r>
        <w:rPr>
          <w:rFonts w:hint="eastAsia"/>
          <w:lang w:eastAsia="zh-CN"/>
        </w:rPr>
        <w:t>，较上年</w:t>
      </w:r>
      <w:r>
        <w:rPr>
          <w:rFonts w:hint="eastAsia"/>
          <w:lang w:val="en-US" w:eastAsia="zh-CN"/>
        </w:rPr>
        <w:t>减少1.26</w:t>
      </w:r>
      <w:r>
        <w:rPr>
          <w:rFonts w:hint="eastAsia"/>
        </w:rPr>
        <w:t>万元，</w:t>
      </w:r>
      <w:r>
        <w:rPr>
          <w:rFonts w:hint="eastAsia"/>
          <w:lang w:val="en-US" w:eastAsia="zh-CN"/>
        </w:rPr>
        <w:t>主要</w:t>
      </w:r>
      <w:r>
        <w:rPr>
          <w:rFonts w:hint="eastAsia"/>
        </w:rPr>
        <w:t>原因是</w:t>
      </w:r>
      <w:r>
        <w:rPr>
          <w:rFonts w:hint="eastAsia"/>
          <w:lang w:val="en-US" w:eastAsia="zh-CN"/>
        </w:rPr>
        <w:t>遗属人员减少所致</w:t>
      </w:r>
      <w:r>
        <w:rPr>
          <w:rFonts w:hint="eastAsia"/>
        </w:rPr>
        <w:t>。</w:t>
      </w:r>
    </w:p>
    <w:p>
      <w:pPr>
        <w:bidi w:val="0"/>
        <w:ind w:left="0" w:leftChars="0" w:firstLine="0" w:firstLineChars="0"/>
        <w:jc w:val="center"/>
        <w:rPr>
          <w:rFonts w:hint="eastAsia"/>
        </w:rPr>
      </w:pPr>
      <w:r>
        <w:drawing>
          <wp:inline distT="0" distB="0" distL="114300" distR="114300">
            <wp:extent cx="5618480" cy="2889250"/>
            <wp:effectExtent l="0" t="0" r="5080" b="635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6"/>
                    <a:stretch>
                      <a:fillRect/>
                    </a:stretch>
                  </pic:blipFill>
                  <pic:spPr>
                    <a:xfrm>
                      <a:off x="0" y="0"/>
                      <a:ext cx="5618480" cy="2889250"/>
                    </a:xfrm>
                    <a:prstGeom prst="rect">
                      <a:avLst/>
                    </a:prstGeom>
                    <a:noFill/>
                    <a:ln>
                      <a:noFill/>
                    </a:ln>
                  </pic:spPr>
                </pic:pic>
              </a:graphicData>
            </a:graphic>
          </wp:inline>
        </w:drawing>
      </w:r>
    </w:p>
    <w:p>
      <w:pPr>
        <w:pStyle w:val="3"/>
        <w:bidi w:val="0"/>
        <w:rPr>
          <w:rFonts w:hint="eastAsia"/>
          <w:color w:val="auto"/>
          <w:highlight w:val="none"/>
        </w:rPr>
      </w:pPr>
      <w:r>
        <w:rPr>
          <w:rFonts w:hint="eastAsia"/>
          <w:color w:val="auto"/>
          <w:highlight w:val="none"/>
        </w:rPr>
        <w:t>政府性基金预算支出情况</w:t>
      </w:r>
    </w:p>
    <w:p>
      <w:pPr>
        <w:bidi w:val="0"/>
        <w:rPr>
          <w:rFonts w:hint="eastAsia"/>
        </w:rPr>
      </w:pPr>
      <w:r>
        <w:rPr>
          <w:rFonts w:hint="eastAsia"/>
        </w:rPr>
        <w:t>本部门无当年政府性基金预算收支，并已公开空表。</w:t>
      </w:r>
    </w:p>
    <w:p>
      <w:pPr>
        <w:bidi w:val="0"/>
        <w:rPr>
          <w:rFonts w:hint="eastAsia"/>
          <w:lang w:eastAsia="zh-CN"/>
        </w:rPr>
      </w:pPr>
      <w:r>
        <w:rPr>
          <w:rFonts w:hint="eastAsia"/>
        </w:rPr>
        <w:t>本部门无</w:t>
      </w:r>
      <w:r>
        <w:rPr>
          <w:rFonts w:hint="eastAsia"/>
          <w:lang w:eastAsia="zh-CN"/>
        </w:rPr>
        <w:t>2021年</w:t>
      </w:r>
      <w:r>
        <w:rPr>
          <w:rFonts w:hint="eastAsia"/>
        </w:rPr>
        <w:t>结转的政府性基金预算拨款支出</w:t>
      </w:r>
      <w:r>
        <w:rPr>
          <w:rFonts w:hint="eastAsia"/>
          <w:lang w:eastAsia="zh-CN"/>
        </w:rPr>
        <w:t>。</w:t>
      </w:r>
    </w:p>
    <w:p>
      <w:pPr>
        <w:pStyle w:val="3"/>
        <w:bidi w:val="0"/>
        <w:rPr>
          <w:rFonts w:hint="eastAsia"/>
          <w:color w:val="auto"/>
          <w:highlight w:val="none"/>
        </w:rPr>
      </w:pPr>
      <w:r>
        <w:rPr>
          <w:rFonts w:hint="eastAsia"/>
          <w:color w:val="auto"/>
          <w:highlight w:val="none"/>
        </w:rPr>
        <w:t>国有资本经营预算拨款收支情况</w:t>
      </w:r>
    </w:p>
    <w:p>
      <w:pPr>
        <w:bidi w:val="0"/>
        <w:rPr>
          <w:rFonts w:hint="eastAsia"/>
        </w:rPr>
      </w:pPr>
      <w:r>
        <w:rPr>
          <w:rFonts w:hint="eastAsia"/>
        </w:rPr>
        <w:t>本部门无当年国有资本经营预算拨款收支，并在财政拨款收支总体情况表中列示。</w:t>
      </w:r>
    </w:p>
    <w:p>
      <w:pPr>
        <w:bidi w:val="0"/>
        <w:rPr>
          <w:rFonts w:hint="default"/>
          <w:lang w:val="en-US"/>
        </w:rPr>
      </w:pPr>
      <w:r>
        <w:rPr>
          <w:rFonts w:hint="eastAsia"/>
        </w:rPr>
        <w:t>本部门无</w:t>
      </w:r>
      <w:r>
        <w:rPr>
          <w:rFonts w:hint="eastAsia"/>
          <w:lang w:eastAsia="zh-CN"/>
        </w:rPr>
        <w:t>2021年</w:t>
      </w:r>
      <w:r>
        <w:rPr>
          <w:rFonts w:hint="eastAsia"/>
        </w:rPr>
        <w:t>结转的国有资本经营预算拨款支出</w:t>
      </w:r>
      <w:r>
        <w:rPr>
          <w:rFonts w:hint="default"/>
          <w:lang w:val="en-US"/>
        </w:rPr>
        <w:t>。</w:t>
      </w:r>
    </w:p>
    <w:p>
      <w:pPr>
        <w:bidi w:val="0"/>
        <w:rPr>
          <w:rFonts w:hint="default"/>
          <w:color w:val="auto"/>
          <w:highlight w:val="none"/>
          <w:lang w:val="en-US"/>
        </w:rPr>
      </w:pPr>
    </w:p>
    <w:p>
      <w:pPr>
        <w:pStyle w:val="30"/>
        <w:bidi w:val="0"/>
        <w:rPr>
          <w:rFonts w:hint="default"/>
          <w:lang w:val="en-US" w:eastAsia="zh-CN"/>
        </w:rPr>
      </w:pPr>
      <w:r>
        <w:rPr>
          <w:rFonts w:hint="eastAsia"/>
          <w:lang w:val="en-US" w:eastAsia="zh-CN"/>
        </w:rPr>
        <w:t xml:space="preserve">第三部分  </w:t>
      </w:r>
      <w:r>
        <w:rPr>
          <w:rFonts w:hint="eastAsia"/>
        </w:rPr>
        <w:t>其他说明情况</w:t>
      </w:r>
    </w:p>
    <w:p>
      <w:pPr>
        <w:bidi w:val="0"/>
        <w:rPr>
          <w:rFonts w:hint="eastAsia"/>
          <w:color w:val="auto"/>
          <w:highlight w:val="none"/>
          <w:lang w:val="en-US" w:eastAsia="zh-CN"/>
        </w:rPr>
      </w:pPr>
    </w:p>
    <w:p>
      <w:pPr>
        <w:pStyle w:val="2"/>
        <w:bidi w:val="0"/>
        <w:rPr>
          <w:rFonts w:hint="eastAsia"/>
        </w:rPr>
      </w:pPr>
      <w:r>
        <w:rPr>
          <w:rFonts w:hint="eastAsia"/>
          <w:lang w:val="en-US" w:eastAsia="zh-CN"/>
        </w:rPr>
        <w:t>部门预算</w:t>
      </w:r>
      <w:r>
        <w:rPr>
          <w:rFonts w:hint="eastAsia"/>
        </w:rPr>
        <w:t>“三公”经费等预算情况</w:t>
      </w:r>
    </w:p>
    <w:p>
      <w:pPr>
        <w:pStyle w:val="4"/>
        <w:bidi w:val="0"/>
        <w:rPr>
          <w:rFonts w:hint="eastAsia"/>
          <w:color w:val="auto"/>
          <w:highlight w:val="none"/>
          <w:lang w:val="en-US" w:eastAsia="zh-CN"/>
        </w:rPr>
      </w:pPr>
      <w:r>
        <w:rPr>
          <w:rFonts w:hint="eastAsia"/>
          <w:color w:val="auto"/>
          <w:highlight w:val="none"/>
        </w:rPr>
        <w:t>“三公”经费</w:t>
      </w:r>
      <w:r>
        <w:rPr>
          <w:rFonts w:hint="eastAsia"/>
          <w:color w:val="auto"/>
          <w:highlight w:val="none"/>
          <w:lang w:val="en-US" w:eastAsia="zh-CN"/>
        </w:rPr>
        <w:t>预算情况</w:t>
      </w:r>
    </w:p>
    <w:p>
      <w:pPr>
        <w:bidi w:val="0"/>
        <w:rPr>
          <w:rFonts w:hint="eastAsia"/>
          <w:highlight w:val="none"/>
        </w:rPr>
      </w:pPr>
      <w:r>
        <w:rPr>
          <w:rFonts w:hint="eastAsia"/>
          <w:highlight w:val="none"/>
          <w:lang w:eastAsia="zh-CN"/>
        </w:rPr>
        <w:t>2022年</w:t>
      </w:r>
      <w:r>
        <w:rPr>
          <w:rFonts w:hint="eastAsia"/>
          <w:highlight w:val="none"/>
          <w:lang w:val="en-US" w:eastAsia="zh-CN"/>
        </w:rPr>
        <w:t>当年</w:t>
      </w:r>
      <w:r>
        <w:rPr>
          <w:rFonts w:hint="eastAsia"/>
          <w:highlight w:val="none"/>
        </w:rPr>
        <w:t>本部门一般公共预算“三公”经费预算支出</w:t>
      </w:r>
      <w:r>
        <w:rPr>
          <w:rFonts w:hint="eastAsia"/>
          <w:highlight w:val="none"/>
          <w:lang w:val="en-US" w:eastAsia="zh-CN"/>
        </w:rPr>
        <w:t>8.47</w:t>
      </w:r>
      <w:r>
        <w:rPr>
          <w:rFonts w:hint="eastAsia"/>
          <w:highlight w:val="none"/>
        </w:rPr>
        <w:t>万元，</w:t>
      </w:r>
      <w:r>
        <w:rPr>
          <w:rFonts w:hint="eastAsia"/>
          <w:highlight w:val="none"/>
          <w:lang w:eastAsia="zh-CN"/>
        </w:rPr>
        <w:t>较上年</w:t>
      </w:r>
      <w:r>
        <w:rPr>
          <w:rFonts w:hint="eastAsia"/>
          <w:highlight w:val="none"/>
          <w:lang w:val="en-US" w:eastAsia="zh-CN"/>
        </w:rPr>
        <w:t>增加4.63</w:t>
      </w:r>
      <w:r>
        <w:rPr>
          <w:rFonts w:hint="eastAsia"/>
          <w:highlight w:val="none"/>
        </w:rPr>
        <w:t>万元（</w:t>
      </w:r>
      <w:r>
        <w:rPr>
          <w:rFonts w:hint="eastAsia"/>
          <w:highlight w:val="none"/>
          <w:lang w:val="en-US" w:eastAsia="zh-CN"/>
        </w:rPr>
        <w:t>120.57</w:t>
      </w:r>
      <w:r>
        <w:rPr>
          <w:rFonts w:hint="eastAsia"/>
          <w:highlight w:val="none"/>
        </w:rPr>
        <w:t>%），</w:t>
      </w:r>
      <w:r>
        <w:rPr>
          <w:rFonts w:hint="eastAsia"/>
          <w:highlight w:val="none"/>
          <w:lang w:val="en-US" w:eastAsia="zh-CN"/>
        </w:rPr>
        <w:t>增加</w:t>
      </w:r>
      <w:r>
        <w:rPr>
          <w:rFonts w:hint="eastAsia"/>
          <w:highlight w:val="none"/>
        </w:rPr>
        <w:t>的主要原因是</w:t>
      </w:r>
      <w:r>
        <w:rPr>
          <w:rFonts w:hint="eastAsia"/>
          <w:highlight w:val="none"/>
          <w:lang w:val="en-US" w:eastAsia="zh-CN"/>
        </w:rPr>
        <w:t>预算因公出国（境）费用</w:t>
      </w:r>
      <w:r>
        <w:rPr>
          <w:rFonts w:hint="eastAsia"/>
          <w:highlight w:val="none"/>
        </w:rPr>
        <w:t>所致。其中：因公出国（境）经费</w:t>
      </w:r>
      <w:r>
        <w:rPr>
          <w:rFonts w:hint="eastAsia"/>
          <w:highlight w:val="none"/>
          <w:lang w:val="en-US" w:eastAsia="zh-CN"/>
        </w:rPr>
        <w:t>6</w:t>
      </w:r>
      <w:r>
        <w:rPr>
          <w:rFonts w:hint="eastAsia"/>
          <w:highlight w:val="none"/>
        </w:rPr>
        <w:t>万元，</w:t>
      </w:r>
      <w:r>
        <w:rPr>
          <w:rFonts w:hint="eastAsia"/>
          <w:highlight w:val="none"/>
          <w:lang w:eastAsia="zh-CN"/>
        </w:rPr>
        <w:t>较上年</w:t>
      </w:r>
      <w:r>
        <w:rPr>
          <w:rFonts w:hint="eastAsia"/>
          <w:highlight w:val="none"/>
          <w:lang w:val="en-US" w:eastAsia="zh-CN"/>
        </w:rPr>
        <w:t>增加6万元，主要原因是结合工作需要且根据2021年决算内容调整2022年预算所致</w:t>
      </w:r>
      <w:r>
        <w:rPr>
          <w:rFonts w:hint="eastAsia"/>
          <w:highlight w:val="none"/>
        </w:rPr>
        <w:t>；公务接待费</w:t>
      </w:r>
      <w:r>
        <w:rPr>
          <w:rFonts w:hint="eastAsia"/>
          <w:highlight w:val="none"/>
          <w:lang w:val="en-US" w:eastAsia="zh-CN"/>
        </w:rPr>
        <w:t>2.47万元</w:t>
      </w:r>
      <w:r>
        <w:rPr>
          <w:rFonts w:hint="eastAsia"/>
          <w:highlight w:val="none"/>
        </w:rPr>
        <w:t>，</w:t>
      </w:r>
      <w:r>
        <w:rPr>
          <w:rFonts w:hint="eastAsia"/>
          <w:highlight w:val="none"/>
          <w:lang w:eastAsia="zh-CN"/>
        </w:rPr>
        <w:t>较上年</w:t>
      </w:r>
      <w:r>
        <w:rPr>
          <w:rFonts w:hint="eastAsia"/>
          <w:highlight w:val="none"/>
        </w:rPr>
        <w:t>减少</w:t>
      </w:r>
      <w:r>
        <w:rPr>
          <w:rFonts w:hint="eastAsia"/>
          <w:highlight w:val="none"/>
          <w:lang w:val="en-US" w:eastAsia="zh-CN"/>
        </w:rPr>
        <w:t>1.37</w:t>
      </w:r>
      <w:r>
        <w:rPr>
          <w:rFonts w:hint="eastAsia"/>
          <w:highlight w:val="none"/>
        </w:rPr>
        <w:t>万元（</w:t>
      </w:r>
      <w:r>
        <w:rPr>
          <w:rFonts w:hint="eastAsia"/>
          <w:highlight w:val="none"/>
          <w:lang w:val="en-US" w:eastAsia="zh-CN"/>
        </w:rPr>
        <w:t>35.68</w:t>
      </w:r>
      <w:r>
        <w:rPr>
          <w:rFonts w:hint="eastAsia"/>
          <w:highlight w:val="none"/>
        </w:rPr>
        <w:t>%），减少的主要原因是调整接待预算次数所致；公务用车运行维护费</w:t>
      </w:r>
      <w:r>
        <w:rPr>
          <w:rFonts w:hint="eastAsia"/>
          <w:highlight w:val="none"/>
          <w:lang w:val="en-US" w:eastAsia="zh-CN"/>
        </w:rPr>
        <w:t>0</w:t>
      </w:r>
      <w:r>
        <w:rPr>
          <w:rFonts w:hint="eastAsia"/>
          <w:highlight w:val="none"/>
        </w:rPr>
        <w:t>万元，</w:t>
      </w:r>
      <w:r>
        <w:rPr>
          <w:rFonts w:hint="eastAsia"/>
          <w:highlight w:val="none"/>
          <w:lang w:eastAsia="zh-CN"/>
        </w:rPr>
        <w:t>较上年</w:t>
      </w:r>
      <w:r>
        <w:rPr>
          <w:rFonts w:hint="eastAsia"/>
          <w:highlight w:val="none"/>
        </w:rPr>
        <w:t>减少</w:t>
      </w:r>
      <w:r>
        <w:rPr>
          <w:rFonts w:hint="eastAsia"/>
          <w:highlight w:val="none"/>
          <w:lang w:val="en-US" w:eastAsia="zh-CN"/>
        </w:rPr>
        <w:t>0</w:t>
      </w:r>
      <w:r>
        <w:rPr>
          <w:rFonts w:hint="eastAsia"/>
          <w:highlight w:val="none"/>
        </w:rPr>
        <w:t>万元，</w:t>
      </w:r>
      <w:r>
        <w:rPr>
          <w:rFonts w:hint="eastAsia"/>
          <w:highlight w:val="none"/>
          <w:lang w:eastAsia="zh-CN"/>
        </w:rPr>
        <w:t>较上年</w:t>
      </w:r>
      <w:r>
        <w:rPr>
          <w:rFonts w:hint="eastAsia"/>
          <w:highlight w:val="none"/>
          <w:lang w:val="en-US" w:eastAsia="zh-CN"/>
        </w:rPr>
        <w:t>无变化，主要原因是同上年一样未安排公务用车运行维护</w:t>
      </w:r>
      <w:r>
        <w:rPr>
          <w:rFonts w:hint="eastAsia"/>
          <w:highlight w:val="none"/>
        </w:rPr>
        <w:t>；公务用车购置费</w:t>
      </w:r>
      <w:r>
        <w:rPr>
          <w:rFonts w:hint="default"/>
          <w:highlight w:val="none"/>
          <w:lang w:val="en-US"/>
        </w:rPr>
        <w:t>0</w:t>
      </w:r>
      <w:r>
        <w:rPr>
          <w:rFonts w:hint="eastAsia"/>
          <w:highlight w:val="none"/>
        </w:rPr>
        <w:t>万元，</w:t>
      </w:r>
      <w:r>
        <w:rPr>
          <w:rFonts w:hint="eastAsia"/>
          <w:highlight w:val="none"/>
          <w:lang w:eastAsia="zh-CN"/>
        </w:rPr>
        <w:t>较上年</w:t>
      </w:r>
      <w:r>
        <w:rPr>
          <w:rFonts w:hint="eastAsia"/>
          <w:highlight w:val="none"/>
          <w:lang w:val="en-US" w:eastAsia="zh-CN"/>
        </w:rPr>
        <w:t>无变化，主要原因是同上年一样未安排购置公务用车</w:t>
      </w:r>
      <w:r>
        <w:rPr>
          <w:rFonts w:hint="eastAsia"/>
          <w:highlight w:val="none"/>
        </w:rPr>
        <w:t>。</w:t>
      </w:r>
    </w:p>
    <w:p>
      <w:pPr>
        <w:bidi w:val="0"/>
        <w:rPr>
          <w:rFonts w:hint="eastAsia"/>
          <w:highlight w:val="none"/>
        </w:rPr>
      </w:pPr>
      <w:r>
        <w:rPr>
          <w:rFonts w:hint="eastAsia"/>
          <w:highlight w:val="none"/>
        </w:rPr>
        <w:t>本部门无</w:t>
      </w:r>
      <w:r>
        <w:rPr>
          <w:rFonts w:hint="eastAsia"/>
          <w:highlight w:val="none"/>
          <w:lang w:eastAsia="zh-CN"/>
        </w:rPr>
        <w:t>2021年</w:t>
      </w:r>
      <w:r>
        <w:rPr>
          <w:rFonts w:hint="eastAsia"/>
          <w:highlight w:val="none"/>
        </w:rPr>
        <w:t>结转的财政拨款“三公”经费支出</w:t>
      </w:r>
      <w:r>
        <w:rPr>
          <w:highlight w:val="none"/>
        </w:rPr>
        <w:t>。</w:t>
      </w:r>
    </w:p>
    <w:p>
      <w:pPr>
        <w:pStyle w:val="4"/>
        <w:bidi w:val="0"/>
        <w:rPr>
          <w:rFonts w:hint="eastAsia"/>
          <w:color w:val="auto"/>
          <w:highlight w:val="none"/>
          <w:lang w:val="en-US" w:eastAsia="zh-CN"/>
        </w:rPr>
      </w:pPr>
      <w:r>
        <w:rPr>
          <w:rFonts w:hint="eastAsia"/>
          <w:color w:val="auto"/>
          <w:highlight w:val="none"/>
          <w:lang w:val="en-US" w:eastAsia="zh-CN"/>
        </w:rPr>
        <w:t>会议费预算情况</w:t>
      </w:r>
    </w:p>
    <w:p>
      <w:pPr>
        <w:bidi w:val="0"/>
        <w:rPr>
          <w:rFonts w:hint="eastAsia"/>
          <w:highlight w:val="none"/>
          <w:lang w:val="en-US" w:eastAsia="zh-CN"/>
        </w:rPr>
      </w:pPr>
      <w:r>
        <w:rPr>
          <w:rFonts w:hint="eastAsia"/>
          <w:highlight w:val="none"/>
          <w:lang w:val="en-US" w:eastAsia="zh-CN"/>
        </w:rPr>
        <w:t>2022年当年</w:t>
      </w:r>
      <w:r>
        <w:rPr>
          <w:rFonts w:hint="eastAsia"/>
          <w:highlight w:val="none"/>
        </w:rPr>
        <w:t>本部门</w:t>
      </w:r>
      <w:r>
        <w:rPr>
          <w:rFonts w:hint="eastAsia"/>
          <w:highlight w:val="none"/>
          <w:lang w:val="en-US" w:eastAsia="zh-CN"/>
        </w:rPr>
        <w:t>会议</w:t>
      </w:r>
      <w:r>
        <w:rPr>
          <w:rFonts w:hint="eastAsia"/>
          <w:highlight w:val="none"/>
        </w:rPr>
        <w:t>费预算支出</w:t>
      </w:r>
      <w:r>
        <w:rPr>
          <w:rFonts w:hint="eastAsia"/>
          <w:highlight w:val="none"/>
          <w:lang w:val="en-US" w:eastAsia="zh-CN"/>
        </w:rPr>
        <w:t>4.00万元，较上年增加1.00万元（33.33%），主要原因是根据2021年决算内容调整2022年预算所致。</w:t>
      </w:r>
    </w:p>
    <w:p>
      <w:pPr>
        <w:bidi w:val="0"/>
        <w:rPr>
          <w:rFonts w:hint="default"/>
          <w:highlight w:val="none"/>
          <w:lang w:val="en-US" w:eastAsia="zh-CN"/>
        </w:rPr>
      </w:pPr>
      <w:r>
        <w:rPr>
          <w:rFonts w:hint="eastAsia"/>
          <w:highlight w:val="none"/>
        </w:rPr>
        <w:t>本部门无</w:t>
      </w:r>
      <w:r>
        <w:rPr>
          <w:rFonts w:hint="eastAsia"/>
          <w:highlight w:val="none"/>
          <w:lang w:eastAsia="zh-CN"/>
        </w:rPr>
        <w:t>2021年</w:t>
      </w:r>
      <w:r>
        <w:rPr>
          <w:rFonts w:hint="eastAsia"/>
          <w:highlight w:val="none"/>
        </w:rPr>
        <w:t>结转的财政拨款</w:t>
      </w:r>
      <w:r>
        <w:rPr>
          <w:rFonts w:hint="eastAsia"/>
          <w:highlight w:val="none"/>
          <w:lang w:val="en-US" w:eastAsia="zh-CN"/>
        </w:rPr>
        <w:t>会议</w:t>
      </w:r>
      <w:r>
        <w:rPr>
          <w:rFonts w:hint="eastAsia"/>
          <w:highlight w:val="none"/>
        </w:rPr>
        <w:t>费支出</w:t>
      </w:r>
      <w:r>
        <w:rPr>
          <w:highlight w:val="none"/>
        </w:rPr>
        <w:t>。</w:t>
      </w:r>
    </w:p>
    <w:p>
      <w:pPr>
        <w:pStyle w:val="4"/>
        <w:bidi w:val="0"/>
        <w:rPr>
          <w:rFonts w:hint="eastAsia"/>
          <w:color w:val="auto"/>
          <w:highlight w:val="none"/>
          <w:lang w:val="en-US" w:eastAsia="zh-CN"/>
        </w:rPr>
      </w:pPr>
      <w:r>
        <w:rPr>
          <w:rFonts w:hint="eastAsia"/>
          <w:color w:val="auto"/>
          <w:highlight w:val="none"/>
          <w:lang w:val="en-US" w:eastAsia="zh-CN"/>
        </w:rPr>
        <w:t>培训费预算情况</w:t>
      </w:r>
    </w:p>
    <w:p>
      <w:pPr>
        <w:bidi w:val="0"/>
        <w:rPr>
          <w:rFonts w:hint="eastAsia"/>
          <w:highlight w:val="none"/>
          <w:lang w:val="en-US" w:eastAsia="zh-CN"/>
        </w:rPr>
      </w:pPr>
      <w:r>
        <w:rPr>
          <w:rFonts w:hint="eastAsia"/>
          <w:highlight w:val="none"/>
          <w:lang w:val="en-US" w:eastAsia="zh-CN"/>
        </w:rPr>
        <w:t>2022年当年</w:t>
      </w:r>
      <w:r>
        <w:rPr>
          <w:rFonts w:hint="eastAsia"/>
          <w:highlight w:val="none"/>
        </w:rPr>
        <w:t>本部门</w:t>
      </w:r>
      <w:r>
        <w:rPr>
          <w:rFonts w:hint="eastAsia"/>
          <w:highlight w:val="none"/>
          <w:lang w:val="en-US" w:eastAsia="zh-CN"/>
        </w:rPr>
        <w:t>培训</w:t>
      </w:r>
      <w:r>
        <w:rPr>
          <w:rFonts w:hint="eastAsia"/>
          <w:highlight w:val="none"/>
        </w:rPr>
        <w:t>费预算支出</w:t>
      </w:r>
      <w:r>
        <w:rPr>
          <w:rFonts w:hint="eastAsia"/>
          <w:highlight w:val="none"/>
          <w:lang w:val="en-US" w:eastAsia="zh-CN"/>
        </w:rPr>
        <w:t>4万元，较上年增加0.30万元（8.11%），主要原因是根据2021年决算内容调整2022年预算所致。</w:t>
      </w:r>
    </w:p>
    <w:p>
      <w:pPr>
        <w:bidi w:val="0"/>
        <w:rPr>
          <w:rFonts w:hint="default"/>
          <w:highlight w:val="none"/>
          <w:lang w:val="en-US" w:eastAsia="zh-CN"/>
        </w:rPr>
      </w:pPr>
      <w:r>
        <w:rPr>
          <w:rFonts w:hint="eastAsia"/>
          <w:highlight w:val="none"/>
        </w:rPr>
        <w:t>本部门无</w:t>
      </w:r>
      <w:r>
        <w:rPr>
          <w:rFonts w:hint="eastAsia"/>
          <w:highlight w:val="none"/>
          <w:lang w:eastAsia="zh-CN"/>
        </w:rPr>
        <w:t>2021年</w:t>
      </w:r>
      <w:r>
        <w:rPr>
          <w:rFonts w:hint="eastAsia"/>
          <w:highlight w:val="none"/>
        </w:rPr>
        <w:t>结转的财政拨款</w:t>
      </w:r>
      <w:r>
        <w:rPr>
          <w:rFonts w:hint="eastAsia"/>
          <w:highlight w:val="none"/>
          <w:lang w:val="en-US" w:eastAsia="zh-CN"/>
        </w:rPr>
        <w:t>培训</w:t>
      </w:r>
      <w:r>
        <w:rPr>
          <w:rFonts w:hint="eastAsia"/>
          <w:highlight w:val="none"/>
        </w:rPr>
        <w:t>费支出</w:t>
      </w:r>
      <w:r>
        <w:rPr>
          <w:highlight w:val="none"/>
        </w:rPr>
        <w:t>。</w:t>
      </w:r>
    </w:p>
    <w:p>
      <w:pPr>
        <w:pStyle w:val="2"/>
        <w:bidi w:val="0"/>
        <w:rPr>
          <w:rFonts w:hint="eastAsia"/>
        </w:rPr>
      </w:pPr>
      <w:r>
        <w:rPr>
          <w:rFonts w:hint="eastAsia"/>
        </w:rPr>
        <w:t>部门国有资产占有使用及资产购置情况说明</w:t>
      </w:r>
    </w:p>
    <w:p>
      <w:pPr>
        <w:bidi w:val="0"/>
        <w:rPr>
          <w:rFonts w:hint="eastAsia"/>
        </w:rPr>
      </w:pPr>
      <w:r>
        <w:rPr>
          <w:rFonts w:hint="eastAsia"/>
        </w:rPr>
        <w:t>截至</w:t>
      </w:r>
      <w:r>
        <w:rPr>
          <w:rFonts w:hint="eastAsia"/>
          <w:lang w:val="en-US" w:eastAsia="zh-CN"/>
        </w:rPr>
        <w:t>2021年</w:t>
      </w:r>
      <w:r>
        <w:rPr>
          <w:rFonts w:hint="eastAsia"/>
          <w:lang w:eastAsia="zh-CN"/>
        </w:rPr>
        <w:t>底</w:t>
      </w:r>
      <w:r>
        <w:rPr>
          <w:rFonts w:hint="eastAsia"/>
        </w:rPr>
        <w:t>，本部门所属预算单位共有车辆</w:t>
      </w:r>
      <w:r>
        <w:rPr>
          <w:rFonts w:hint="eastAsia"/>
          <w:lang w:val="en-US" w:eastAsia="zh-CN"/>
        </w:rPr>
        <w:t>3</w:t>
      </w:r>
      <w:r>
        <w:rPr>
          <w:rFonts w:hint="eastAsia"/>
        </w:rPr>
        <w:t>台,单价20万元以上的设备</w:t>
      </w:r>
      <w:r>
        <w:rPr>
          <w:rFonts w:hint="eastAsia"/>
          <w:lang w:val="en-US" w:eastAsia="zh-CN"/>
        </w:rPr>
        <w:t>2</w:t>
      </w:r>
      <w:r>
        <w:rPr>
          <w:rFonts w:hint="eastAsia"/>
        </w:rPr>
        <w:t>台（套）。</w:t>
      </w:r>
      <w:r>
        <w:rPr>
          <w:rFonts w:hint="eastAsia"/>
          <w:lang w:eastAsia="zh-CN"/>
        </w:rPr>
        <w:t>2022年</w:t>
      </w:r>
      <w:r>
        <w:rPr>
          <w:rFonts w:hint="eastAsia"/>
        </w:rPr>
        <w:t>当年部门预算除按资产配置规定购置计算机等必要的办公设备外，未安排购置车辆及单价20万元以上的设备设施。</w:t>
      </w:r>
    </w:p>
    <w:p>
      <w:pPr>
        <w:bidi w:val="0"/>
        <w:rPr>
          <w:rFonts w:hint="eastAsia"/>
        </w:rPr>
      </w:pPr>
      <w:r>
        <w:rPr>
          <w:rFonts w:hint="eastAsia"/>
        </w:rPr>
        <w:t>本部门无</w:t>
      </w:r>
      <w:r>
        <w:rPr>
          <w:rFonts w:hint="eastAsia"/>
          <w:lang w:eastAsia="zh-CN"/>
        </w:rPr>
        <w:t>2021年</w:t>
      </w:r>
      <w:r>
        <w:rPr>
          <w:rFonts w:hint="eastAsia"/>
        </w:rPr>
        <w:t>结转的财政拨款支出资产购置。</w:t>
      </w:r>
    </w:p>
    <w:p>
      <w:pPr>
        <w:pStyle w:val="2"/>
        <w:bidi w:val="0"/>
        <w:rPr>
          <w:rFonts w:hint="eastAsia"/>
        </w:rPr>
      </w:pPr>
      <w:r>
        <w:rPr>
          <w:rFonts w:hint="eastAsia"/>
          <w:lang w:val="en-US" w:eastAsia="zh-CN"/>
        </w:rPr>
        <w:t>部门</w:t>
      </w:r>
      <w:r>
        <w:rPr>
          <w:rFonts w:hint="eastAsia"/>
        </w:rPr>
        <w:t>政府采购情况</w:t>
      </w:r>
      <w:r>
        <w:rPr>
          <w:rFonts w:hint="eastAsia"/>
          <w:lang w:val="en-US" w:eastAsia="zh-CN"/>
        </w:rPr>
        <w:t>说明</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2022年</w:t>
      </w:r>
      <w:r>
        <w:rPr>
          <w:rFonts w:hint="eastAsia"/>
          <w:color w:val="auto"/>
          <w:highlight w:val="none"/>
          <w:lang w:val="en-US" w:eastAsia="zh-CN"/>
        </w:rPr>
        <w:t>当年</w:t>
      </w:r>
      <w:r>
        <w:rPr>
          <w:rFonts w:hint="eastAsia"/>
          <w:color w:val="auto"/>
          <w:highlight w:val="none"/>
        </w:rPr>
        <w:t>无政府采购预算，并已公开空表。</w:t>
      </w:r>
    </w:p>
    <w:p>
      <w:pPr>
        <w:bidi w:val="0"/>
        <w:rPr>
          <w:rFonts w:hint="eastAsia"/>
          <w:color w:val="auto"/>
          <w:highlight w:val="none"/>
          <w:lang w:eastAsia="zh-CN"/>
        </w:rPr>
      </w:pPr>
      <w:r>
        <w:rPr>
          <w:rFonts w:hint="eastAsia"/>
          <w:color w:val="auto"/>
          <w:highlight w:val="none"/>
          <w:lang w:eastAsia="zh-CN"/>
        </w:rPr>
        <w:t>本部门无2021年结转的政府采购资金支出。</w:t>
      </w:r>
    </w:p>
    <w:p>
      <w:pPr>
        <w:pStyle w:val="2"/>
        <w:bidi w:val="0"/>
        <w:rPr>
          <w:rFonts w:hint="eastAsia"/>
        </w:rPr>
      </w:pPr>
      <w:r>
        <w:rPr>
          <w:rFonts w:hint="eastAsia"/>
        </w:rPr>
        <w:t>部门预算绩效目标说明</w:t>
      </w:r>
    </w:p>
    <w:p>
      <w:pPr>
        <w:bidi w:val="0"/>
        <w:rPr>
          <w:rFonts w:hint="eastAsia"/>
          <w:lang w:val="en-US" w:eastAsia="zh-CN"/>
        </w:rPr>
      </w:pPr>
      <w:r>
        <w:rPr>
          <w:rFonts w:hint="eastAsia"/>
          <w:lang w:val="en-US" w:eastAsia="zh-CN"/>
        </w:rPr>
        <w:t>2022年本部门绩效目标管理全覆盖，涉及当年一般公共预算当年拨款4737.86万元,当年政府性基金预算当年拨款0万元，当年国有资本经营预算拨款0万元（详见公开报表中的绩效目标表）。</w:t>
      </w:r>
    </w:p>
    <w:p>
      <w:pPr>
        <w:bidi w:val="0"/>
        <w:rPr>
          <w:rFonts w:hint="eastAsia"/>
          <w:lang w:val="en-US" w:eastAsia="zh-CN"/>
        </w:rPr>
      </w:pPr>
      <w:r>
        <w:rPr>
          <w:rFonts w:hint="eastAsia"/>
          <w:lang w:eastAsia="zh-CN"/>
        </w:rPr>
        <w:t>2022年</w:t>
      </w:r>
      <w:r>
        <w:rPr>
          <w:rFonts w:hint="eastAsia"/>
        </w:rPr>
        <w:t>，本部门</w:t>
      </w:r>
      <w:r>
        <w:rPr>
          <w:rFonts w:hint="eastAsia"/>
          <w:lang w:eastAsia="zh-CN"/>
        </w:rPr>
        <w:t>2021年</w:t>
      </w:r>
      <w:r>
        <w:rPr>
          <w:rFonts w:hint="eastAsia"/>
        </w:rPr>
        <w:t>结转的财政拨款支出继续实施绩效目标管理</w:t>
      </w:r>
      <w:r>
        <w:rPr>
          <w:rFonts w:hint="eastAsia"/>
          <w:lang w:val="en-US" w:eastAsia="zh-CN"/>
        </w:rPr>
        <w:t>。</w:t>
      </w:r>
    </w:p>
    <w:p>
      <w:pPr>
        <w:pStyle w:val="2"/>
        <w:bidi w:val="0"/>
        <w:rPr>
          <w:rFonts w:hint="eastAsia"/>
        </w:rPr>
      </w:pPr>
      <w:r>
        <w:rPr>
          <w:rFonts w:hint="eastAsia"/>
        </w:rPr>
        <w:t>机关运行经费安排情况</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2022年</w:t>
      </w:r>
      <w:r>
        <w:rPr>
          <w:rFonts w:hint="eastAsia"/>
          <w:color w:val="auto"/>
          <w:highlight w:val="none"/>
          <w:lang w:val="en-US" w:eastAsia="zh-CN"/>
        </w:rPr>
        <w:t>当年</w:t>
      </w:r>
      <w:r>
        <w:rPr>
          <w:rFonts w:hint="eastAsia"/>
          <w:color w:val="auto"/>
          <w:highlight w:val="none"/>
        </w:rPr>
        <w:t>机关运行经费预算安排</w:t>
      </w:r>
      <w:r>
        <w:rPr>
          <w:rFonts w:hint="eastAsia"/>
          <w:color w:val="auto"/>
          <w:highlight w:val="none"/>
          <w:lang w:val="en-US" w:eastAsia="zh-CN"/>
        </w:rPr>
        <w:t>290.58万元</w:t>
      </w:r>
      <w:r>
        <w:rPr>
          <w:rFonts w:hint="eastAsia"/>
          <w:color w:val="auto"/>
          <w:highlight w:val="none"/>
        </w:rPr>
        <w:t>万元，</w:t>
      </w:r>
      <w:r>
        <w:rPr>
          <w:rFonts w:hint="eastAsia"/>
          <w:color w:val="auto"/>
          <w:highlight w:val="none"/>
          <w:lang w:eastAsia="zh-CN"/>
        </w:rPr>
        <w:t>较上年</w:t>
      </w:r>
      <w:r>
        <w:rPr>
          <w:rFonts w:hint="eastAsia"/>
          <w:color w:val="auto"/>
          <w:highlight w:val="none"/>
          <w:lang w:val="en-US" w:eastAsia="zh-CN"/>
        </w:rPr>
        <w:t>增加79.06</w:t>
      </w:r>
      <w:r>
        <w:rPr>
          <w:rFonts w:hint="eastAsia"/>
          <w:color w:val="auto"/>
          <w:highlight w:val="none"/>
        </w:rPr>
        <w:t>万元，主要原因</w:t>
      </w:r>
      <w:r>
        <w:rPr>
          <w:rFonts w:hint="eastAsia"/>
          <w:color w:val="auto"/>
          <w:highlight w:val="none"/>
          <w:lang w:val="en-US" w:eastAsia="zh-CN"/>
        </w:rPr>
        <w:t>是行政中心之外办公单位水电、物业补助增加所致</w:t>
      </w:r>
      <w:r>
        <w:rPr>
          <w:rFonts w:hint="eastAsia"/>
          <w:color w:val="auto"/>
          <w:highlight w:val="none"/>
        </w:rPr>
        <w:t>。</w:t>
      </w:r>
    </w:p>
    <w:p>
      <w:pPr>
        <w:bidi w:val="0"/>
        <w:rPr>
          <w:rFonts w:hint="eastAsia"/>
          <w:color w:val="auto"/>
          <w:highlight w:val="none"/>
          <w:lang w:eastAsia="zh-CN"/>
        </w:rPr>
      </w:pPr>
      <w:r>
        <w:rPr>
          <w:rFonts w:hint="eastAsia"/>
          <w:color w:val="auto"/>
          <w:highlight w:val="none"/>
        </w:rPr>
        <w:t>本部门</w:t>
      </w:r>
      <w:r>
        <w:rPr>
          <w:rFonts w:hint="eastAsia"/>
          <w:color w:val="auto"/>
          <w:highlight w:val="none"/>
          <w:lang w:eastAsia="zh-CN"/>
        </w:rPr>
        <w:t>2021年</w:t>
      </w:r>
      <w:r>
        <w:rPr>
          <w:rFonts w:hint="eastAsia"/>
          <w:color w:val="auto"/>
          <w:highlight w:val="none"/>
        </w:rPr>
        <w:t>结转的</w:t>
      </w:r>
      <w:r>
        <w:rPr>
          <w:rFonts w:hint="eastAsia" w:ascii="仿宋" w:hAnsi="仿宋" w:eastAsia="仿宋" w:cs="仿宋"/>
          <w:sz w:val="32"/>
          <w:szCs w:val="32"/>
        </w:rPr>
        <w:t>财政拨款支出</w:t>
      </w:r>
      <w:r>
        <w:rPr>
          <w:rFonts w:hint="eastAsia" w:eastAsia="仿宋"/>
          <w:color w:val="auto"/>
          <w:highlight w:val="none"/>
          <w:lang w:val="en-US" w:eastAsia="zh-CN"/>
        </w:rPr>
        <w:t>中</w:t>
      </w:r>
      <w:r>
        <w:rPr>
          <w:rFonts w:hint="eastAsia"/>
          <w:color w:val="auto"/>
          <w:highlight w:val="none"/>
        </w:rPr>
        <w:t>无机关运行</w:t>
      </w:r>
      <w:r>
        <w:rPr>
          <w:rFonts w:hint="eastAsia"/>
          <w:color w:val="auto"/>
          <w:highlight w:val="none"/>
          <w:lang w:val="en-US" w:eastAsia="zh-CN"/>
        </w:rPr>
        <w:t>经</w:t>
      </w:r>
      <w:r>
        <w:rPr>
          <w:rFonts w:hint="eastAsia"/>
          <w:color w:val="auto"/>
          <w:highlight w:val="none"/>
        </w:rPr>
        <w:t>费支出</w:t>
      </w:r>
      <w:r>
        <w:rPr>
          <w:rFonts w:hint="eastAsia"/>
          <w:color w:val="auto"/>
          <w:highlight w:val="none"/>
          <w:lang w:eastAsia="zh-CN"/>
        </w:rPr>
        <w:t>。</w:t>
      </w:r>
    </w:p>
    <w:p>
      <w:pPr>
        <w:pStyle w:val="2"/>
        <w:bidi w:val="0"/>
        <w:rPr>
          <w:rFonts w:hint="eastAsia"/>
        </w:rPr>
      </w:pPr>
      <w:r>
        <w:rPr>
          <w:rFonts w:hint="eastAsia"/>
        </w:rPr>
        <w:t>专业名词解释</w:t>
      </w:r>
    </w:p>
    <w:p>
      <w:pPr>
        <w:bidi w:val="0"/>
      </w:pPr>
      <w:r>
        <w:t>1</w:t>
      </w:r>
      <w:r>
        <w:rPr>
          <w:rFonts w:hint="eastAsia"/>
          <w:lang w:val="en-US" w:eastAsia="zh-CN"/>
        </w:rPr>
        <w:t>.</w:t>
      </w:r>
      <w:r>
        <w:t>机关运行经费：</w:t>
      </w:r>
      <w:r>
        <w:rPr>
          <w:rFonts w:hint="eastAsia"/>
          <w:lang w:val="en-US" w:eastAsia="zh-CN"/>
        </w:rPr>
        <w:t>是</w:t>
      </w:r>
      <w:r>
        <w:t>指各部门的公用经费，包括办公及印刷费、邮电费、差旅费、会议费、福利费、日常维修费、专用材料及一般设备购置费、办公用房水电费、办公用房取暖费、办公用房物业管理费、公务用车运行维护费以及其他费用。</w:t>
      </w:r>
    </w:p>
    <w:p>
      <w:pPr>
        <w:bidi w:val="0"/>
      </w:pPr>
      <w:r>
        <w:t>2</w:t>
      </w:r>
      <w:r>
        <w:rPr>
          <w:rFonts w:hint="eastAsia"/>
          <w:lang w:val="en-US" w:eastAsia="zh-CN"/>
        </w:rPr>
        <w:t>.</w:t>
      </w:r>
      <w:r>
        <w:t>“三公”经费：</w:t>
      </w:r>
      <w:r>
        <w:rPr>
          <w:rFonts w:hint="eastAsia"/>
          <w:lang w:val="en-US" w:eastAsia="zh-CN"/>
        </w:rPr>
        <w:t>是</w:t>
      </w:r>
      <w: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bidi w:val="0"/>
        <w:rPr>
          <w:rFonts w:hint="eastAsia"/>
          <w:lang w:val="en-US" w:eastAsia="zh-CN"/>
        </w:rPr>
      </w:pPr>
      <w:r>
        <w:rPr>
          <w:rFonts w:hint="eastAsia"/>
          <w:lang w:val="en-US" w:eastAsia="zh-CN"/>
        </w:rPr>
        <w:t>3.地质灾害防治：是指对由于自然作用或人为因素诱发的对人民生命和财产安全造成危害的山体崩塌、滑坡、泥石流、地面塌陷、地裂缝、地面沉降等地质现象，通过有效的地质工程手段，改变这些地质灾害产生的过程，以达到减轻或防止灾害发生的目的。</w:t>
      </w:r>
    </w:p>
    <w:p>
      <w:pPr>
        <w:bidi w:val="0"/>
        <w:rPr>
          <w:rFonts w:hint="eastAsia"/>
          <w:lang w:val="en-US" w:eastAsia="zh-CN"/>
        </w:rPr>
      </w:pPr>
      <w:r>
        <w:rPr>
          <w:rFonts w:hint="eastAsia"/>
          <w:lang w:val="en-US" w:eastAsia="zh-CN"/>
        </w:rPr>
        <w:t>4.城乡社区规划与管理：是指根据城乡经济发展水平和统筹城乡发展的需要，对一定时期内城市、镇和村庄的建成区以及因城乡建设和发展需要必须实行规划控制的区域，确定其性质、规模和发展方向，合理利用土地，协调空间布局和各项建设所作的综合部署和具体安排。</w:t>
      </w:r>
    </w:p>
    <w:p>
      <w:pPr>
        <w:bidi w:val="0"/>
        <w:rPr>
          <w:rFonts w:hint="eastAsia"/>
          <w:lang w:val="en-US" w:eastAsia="zh-CN"/>
        </w:rPr>
      </w:pPr>
    </w:p>
    <w:p>
      <w:pPr>
        <w:pStyle w:val="30"/>
        <w:bidi w:val="0"/>
        <w:rPr>
          <w:rFonts w:hint="eastAsia"/>
          <w:lang w:val="en-US" w:eastAsia="zh-CN"/>
        </w:rPr>
      </w:pPr>
      <w:r>
        <w:rPr>
          <w:rFonts w:hint="eastAsia"/>
          <w:lang w:val="en-US" w:eastAsia="zh-CN"/>
        </w:rPr>
        <w:t>第四部分  公开报表</w:t>
      </w:r>
    </w:p>
    <w:p>
      <w:pPr>
        <w:bidi w:val="0"/>
        <w:rPr>
          <w:rFonts w:hint="default"/>
          <w:lang w:val="en-US" w:eastAsia="zh-CN"/>
        </w:rPr>
      </w:pPr>
    </w:p>
    <w:p>
      <w:pPr>
        <w:bidi w:val="0"/>
        <w:rPr>
          <w:rFonts w:hint="default"/>
          <w:lang w:val="en-US" w:eastAsia="zh-CN"/>
        </w:rPr>
      </w:pPr>
      <w:r>
        <w:rPr>
          <w:rFonts w:hint="eastAsia"/>
        </w:rPr>
        <w:t>（见附件2内容）</w:t>
      </w:r>
    </w:p>
    <w:sectPr>
      <w:pgSz w:w="11906" w:h="16838"/>
      <w:pgMar w:top="2098" w:right="1474" w:bottom="1984" w:left="1587" w:header="850" w:footer="1587" w:gutter="0"/>
      <w:pgNumType w:fmt="numberInDash"/>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NRRtleEBAAC6AwAA&#10;DgAAAAAAAAABACAAAAAiAQAAZHJzL2Uyb0RvYy54bWxQSwUGAAAAAAYABgBZAQAAdQU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5nM2/eEBAAC6AwAA&#10;DgAAAAAAAAABACAAAAAiAQAAZHJzL2Uyb0RvYy54bWxQSwUGAAAAAAYABgBZAQAAdQU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A904B"/>
    <w:multiLevelType w:val="multilevel"/>
    <w:tmpl w:val="58AA904B"/>
    <w:lvl w:ilvl="0" w:tentative="0">
      <w:start w:val="1"/>
      <w:numFmt w:val="chineseCounting"/>
      <w:pStyle w:val="2"/>
      <w:suff w:val="nothing"/>
      <w:lvlText w:val="%1、"/>
      <w:lvlJc w:val="left"/>
      <w:pPr>
        <w:tabs>
          <w:tab w:val="left" w:pos="0"/>
        </w:tabs>
        <w:ind w:left="0" w:firstLine="624"/>
      </w:pPr>
      <w:rPr>
        <w:rFonts w:hint="eastAsia" w:ascii="黑体" w:hAnsi="黑体" w:eastAsia="黑体" w:cs="黑体"/>
        <w:sz w:val="32"/>
        <w:szCs w:val="32"/>
      </w:rPr>
    </w:lvl>
    <w:lvl w:ilvl="1" w:tentative="0">
      <w:start w:val="1"/>
      <w:numFmt w:val="chineseCounting"/>
      <w:pStyle w:val="3"/>
      <w:suff w:val="nothing"/>
      <w:lvlText w:val="(%2)"/>
      <w:lvlJc w:val="left"/>
      <w:pPr>
        <w:tabs>
          <w:tab w:val="left" w:pos="0"/>
        </w:tabs>
        <w:ind w:left="0" w:firstLine="624"/>
      </w:pPr>
      <w:rPr>
        <w:rFonts w:hint="eastAsia" w:ascii="楷体_GB2312" w:hAnsi="楷体_GB2312" w:eastAsia="楷体_GB2312" w:cs="楷体_GB2312"/>
        <w:b/>
        <w:bCs/>
        <w:sz w:val="32"/>
        <w:szCs w:val="32"/>
      </w:rPr>
    </w:lvl>
    <w:lvl w:ilvl="2" w:tentative="0">
      <w:start w:val="1"/>
      <w:numFmt w:val="decimal"/>
      <w:pStyle w:val="4"/>
      <w:suff w:val="nothing"/>
      <w:lvlText w:val="%3."/>
      <w:lvlJc w:val="left"/>
      <w:pPr>
        <w:tabs>
          <w:tab w:val="left" w:pos="0"/>
        </w:tabs>
        <w:ind w:left="0" w:firstLine="624"/>
      </w:pPr>
      <w:rPr>
        <w:rFonts w:hint="eastAsia" w:ascii="仿宋_GB2312" w:hAnsi="仿宋_GB2312" w:eastAsia="仿宋_GB2312" w:cs="仿宋_GB2312"/>
        <w:b/>
        <w:bCs/>
        <w:i w:val="0"/>
        <w:iCs w:val="0"/>
        <w:caps w:val="0"/>
        <w:smallCaps w:val="0"/>
        <w:strike w:val="0"/>
        <w:dstrike w:val="0"/>
        <w:outline w:val="0"/>
        <w:shadow w:val="0"/>
        <w:emboss w:val="0"/>
        <w:imprint w:val="0"/>
        <w:vanish w:val="0"/>
        <w:spacing w:val="0"/>
        <w:position w:val="0"/>
        <w:sz w:val="32"/>
        <w:szCs w:val="32"/>
        <w:u w:val="none"/>
        <w:vertAlign w:val="baseline"/>
      </w:rPr>
    </w:lvl>
    <w:lvl w:ilvl="3" w:tentative="0">
      <w:start w:val="1"/>
      <w:numFmt w:val="decimal"/>
      <w:pStyle w:val="5"/>
      <w:suff w:val="nothing"/>
      <w:lvlText w:val="(%4)"/>
      <w:lvlJc w:val="left"/>
      <w:pPr>
        <w:tabs>
          <w:tab w:val="left" w:pos="0"/>
        </w:tabs>
        <w:ind w:left="0" w:firstLine="402"/>
      </w:pPr>
      <w:rPr>
        <w:rFonts w:hint="eastAsia" w:ascii="仿宋_GB2312" w:hAnsi="仿宋_GB2312" w:eastAsia="仿宋_GB2312" w:cs="仿宋_GB2312"/>
        <w:b/>
        <w:bCs/>
        <w:sz w:val="32"/>
        <w:szCs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31569"/>
    <w:rsid w:val="00000F82"/>
    <w:rsid w:val="00015B74"/>
    <w:rsid w:val="00023451"/>
    <w:rsid w:val="00023DC8"/>
    <w:rsid w:val="00026D3F"/>
    <w:rsid w:val="000361F3"/>
    <w:rsid w:val="0004622F"/>
    <w:rsid w:val="00047854"/>
    <w:rsid w:val="00077FF3"/>
    <w:rsid w:val="00080E55"/>
    <w:rsid w:val="00085F08"/>
    <w:rsid w:val="00086D46"/>
    <w:rsid w:val="00092509"/>
    <w:rsid w:val="00095416"/>
    <w:rsid w:val="000A56C6"/>
    <w:rsid w:val="000A5794"/>
    <w:rsid w:val="000F3D9E"/>
    <w:rsid w:val="0010095D"/>
    <w:rsid w:val="00113C42"/>
    <w:rsid w:val="001267FF"/>
    <w:rsid w:val="00134D29"/>
    <w:rsid w:val="001366C2"/>
    <w:rsid w:val="0013757F"/>
    <w:rsid w:val="00137B2C"/>
    <w:rsid w:val="00153B85"/>
    <w:rsid w:val="001602B4"/>
    <w:rsid w:val="001606E4"/>
    <w:rsid w:val="001925F1"/>
    <w:rsid w:val="0019272A"/>
    <w:rsid w:val="001A1652"/>
    <w:rsid w:val="001A4012"/>
    <w:rsid w:val="001B0391"/>
    <w:rsid w:val="001C00D7"/>
    <w:rsid w:val="001C6269"/>
    <w:rsid w:val="001C7F9B"/>
    <w:rsid w:val="001D17D1"/>
    <w:rsid w:val="001D5202"/>
    <w:rsid w:val="001E77D9"/>
    <w:rsid w:val="001F39BD"/>
    <w:rsid w:val="002252C7"/>
    <w:rsid w:val="00232DB0"/>
    <w:rsid w:val="00235307"/>
    <w:rsid w:val="002432B3"/>
    <w:rsid w:val="00245594"/>
    <w:rsid w:val="00246C91"/>
    <w:rsid w:val="00246DCB"/>
    <w:rsid w:val="0025248F"/>
    <w:rsid w:val="00252BA1"/>
    <w:rsid w:val="00260BC5"/>
    <w:rsid w:val="00260D71"/>
    <w:rsid w:val="00262752"/>
    <w:rsid w:val="0028565E"/>
    <w:rsid w:val="00287A29"/>
    <w:rsid w:val="00292257"/>
    <w:rsid w:val="002A1118"/>
    <w:rsid w:val="002A6844"/>
    <w:rsid w:val="002B2B88"/>
    <w:rsid w:val="002C3AE7"/>
    <w:rsid w:val="002C4342"/>
    <w:rsid w:val="002D5C41"/>
    <w:rsid w:val="002E0AA1"/>
    <w:rsid w:val="002E6FED"/>
    <w:rsid w:val="002F2863"/>
    <w:rsid w:val="002F6C1E"/>
    <w:rsid w:val="00313B6D"/>
    <w:rsid w:val="00321BB7"/>
    <w:rsid w:val="00325264"/>
    <w:rsid w:val="0034365E"/>
    <w:rsid w:val="00350524"/>
    <w:rsid w:val="00350E68"/>
    <w:rsid w:val="00353973"/>
    <w:rsid w:val="00357253"/>
    <w:rsid w:val="0036345B"/>
    <w:rsid w:val="0037297A"/>
    <w:rsid w:val="00374973"/>
    <w:rsid w:val="003B49AC"/>
    <w:rsid w:val="003B76B1"/>
    <w:rsid w:val="003C045F"/>
    <w:rsid w:val="003C0A9C"/>
    <w:rsid w:val="003C34EF"/>
    <w:rsid w:val="003C42F4"/>
    <w:rsid w:val="003C46FE"/>
    <w:rsid w:val="003C6A6A"/>
    <w:rsid w:val="003D3ED5"/>
    <w:rsid w:val="003D593F"/>
    <w:rsid w:val="003E03A6"/>
    <w:rsid w:val="003F0917"/>
    <w:rsid w:val="003F4787"/>
    <w:rsid w:val="00402F8F"/>
    <w:rsid w:val="00417F12"/>
    <w:rsid w:val="00425315"/>
    <w:rsid w:val="0043003F"/>
    <w:rsid w:val="00433722"/>
    <w:rsid w:val="00434BC0"/>
    <w:rsid w:val="00440E7C"/>
    <w:rsid w:val="00442995"/>
    <w:rsid w:val="004447FF"/>
    <w:rsid w:val="00456C9C"/>
    <w:rsid w:val="00461486"/>
    <w:rsid w:val="004745A3"/>
    <w:rsid w:val="004A1308"/>
    <w:rsid w:val="004A2BB9"/>
    <w:rsid w:val="004B6ADB"/>
    <w:rsid w:val="004B715F"/>
    <w:rsid w:val="004B72EA"/>
    <w:rsid w:val="004D6779"/>
    <w:rsid w:val="00506DAE"/>
    <w:rsid w:val="005105FE"/>
    <w:rsid w:val="00514894"/>
    <w:rsid w:val="0053235E"/>
    <w:rsid w:val="00535E7A"/>
    <w:rsid w:val="005409A4"/>
    <w:rsid w:val="005458F4"/>
    <w:rsid w:val="005575B5"/>
    <w:rsid w:val="005A1E1D"/>
    <w:rsid w:val="005A3647"/>
    <w:rsid w:val="005A4949"/>
    <w:rsid w:val="005B6CE7"/>
    <w:rsid w:val="005D1C11"/>
    <w:rsid w:val="005D3FBC"/>
    <w:rsid w:val="005D415C"/>
    <w:rsid w:val="00606C4C"/>
    <w:rsid w:val="00612834"/>
    <w:rsid w:val="0064530C"/>
    <w:rsid w:val="00645F2F"/>
    <w:rsid w:val="00656D0A"/>
    <w:rsid w:val="00671507"/>
    <w:rsid w:val="00694EA1"/>
    <w:rsid w:val="0069535F"/>
    <w:rsid w:val="006A243A"/>
    <w:rsid w:val="006A2641"/>
    <w:rsid w:val="006B15A0"/>
    <w:rsid w:val="006B20CA"/>
    <w:rsid w:val="006B5403"/>
    <w:rsid w:val="006B765E"/>
    <w:rsid w:val="006C0918"/>
    <w:rsid w:val="006C1206"/>
    <w:rsid w:val="006C4B09"/>
    <w:rsid w:val="006D3DC4"/>
    <w:rsid w:val="0070409F"/>
    <w:rsid w:val="00705203"/>
    <w:rsid w:val="007117DE"/>
    <w:rsid w:val="00730F3B"/>
    <w:rsid w:val="00737517"/>
    <w:rsid w:val="00741EAA"/>
    <w:rsid w:val="00752086"/>
    <w:rsid w:val="00756B3A"/>
    <w:rsid w:val="0076253F"/>
    <w:rsid w:val="00777B0A"/>
    <w:rsid w:val="00793106"/>
    <w:rsid w:val="007D6A53"/>
    <w:rsid w:val="007E365D"/>
    <w:rsid w:val="007E526B"/>
    <w:rsid w:val="007F303C"/>
    <w:rsid w:val="007F4DA3"/>
    <w:rsid w:val="007F6934"/>
    <w:rsid w:val="00806092"/>
    <w:rsid w:val="00820634"/>
    <w:rsid w:val="00850903"/>
    <w:rsid w:val="00864D87"/>
    <w:rsid w:val="0086503F"/>
    <w:rsid w:val="008711A5"/>
    <w:rsid w:val="00872A05"/>
    <w:rsid w:val="00892F4A"/>
    <w:rsid w:val="008931E6"/>
    <w:rsid w:val="00894916"/>
    <w:rsid w:val="008953F8"/>
    <w:rsid w:val="00896810"/>
    <w:rsid w:val="00897A5D"/>
    <w:rsid w:val="008A3E2B"/>
    <w:rsid w:val="008A7309"/>
    <w:rsid w:val="008B0106"/>
    <w:rsid w:val="008B4D99"/>
    <w:rsid w:val="008C45B1"/>
    <w:rsid w:val="008F319B"/>
    <w:rsid w:val="00905D64"/>
    <w:rsid w:val="009065C0"/>
    <w:rsid w:val="00913329"/>
    <w:rsid w:val="009157AC"/>
    <w:rsid w:val="009215AC"/>
    <w:rsid w:val="00932A53"/>
    <w:rsid w:val="009343C6"/>
    <w:rsid w:val="00941BDF"/>
    <w:rsid w:val="00951646"/>
    <w:rsid w:val="00956A18"/>
    <w:rsid w:val="009653A5"/>
    <w:rsid w:val="00967BD8"/>
    <w:rsid w:val="00976B23"/>
    <w:rsid w:val="009841D6"/>
    <w:rsid w:val="00990FDD"/>
    <w:rsid w:val="009A7449"/>
    <w:rsid w:val="009B17B2"/>
    <w:rsid w:val="009C3486"/>
    <w:rsid w:val="009C58CC"/>
    <w:rsid w:val="009D0588"/>
    <w:rsid w:val="009D0D1A"/>
    <w:rsid w:val="009D2F71"/>
    <w:rsid w:val="009E3D1C"/>
    <w:rsid w:val="009E5234"/>
    <w:rsid w:val="009F3BA6"/>
    <w:rsid w:val="00A1268D"/>
    <w:rsid w:val="00A43088"/>
    <w:rsid w:val="00A438BD"/>
    <w:rsid w:val="00A475C0"/>
    <w:rsid w:val="00A61F50"/>
    <w:rsid w:val="00A620C2"/>
    <w:rsid w:val="00A716BA"/>
    <w:rsid w:val="00A71942"/>
    <w:rsid w:val="00A7410D"/>
    <w:rsid w:val="00A83528"/>
    <w:rsid w:val="00A91BD9"/>
    <w:rsid w:val="00A91C06"/>
    <w:rsid w:val="00A92E4A"/>
    <w:rsid w:val="00AA078E"/>
    <w:rsid w:val="00AA302C"/>
    <w:rsid w:val="00AA7873"/>
    <w:rsid w:val="00AC55B8"/>
    <w:rsid w:val="00AD2602"/>
    <w:rsid w:val="00AE6FF2"/>
    <w:rsid w:val="00B11D1D"/>
    <w:rsid w:val="00B13CD6"/>
    <w:rsid w:val="00B33C44"/>
    <w:rsid w:val="00B464F7"/>
    <w:rsid w:val="00B64CD9"/>
    <w:rsid w:val="00B702CD"/>
    <w:rsid w:val="00B70D97"/>
    <w:rsid w:val="00B72C7C"/>
    <w:rsid w:val="00B93291"/>
    <w:rsid w:val="00B9466D"/>
    <w:rsid w:val="00BC068E"/>
    <w:rsid w:val="00BC24EC"/>
    <w:rsid w:val="00BC7DAA"/>
    <w:rsid w:val="00BD2AFD"/>
    <w:rsid w:val="00BD4EB2"/>
    <w:rsid w:val="00BD57E0"/>
    <w:rsid w:val="00BD61AF"/>
    <w:rsid w:val="00BD6E83"/>
    <w:rsid w:val="00BE3F36"/>
    <w:rsid w:val="00BE5C3D"/>
    <w:rsid w:val="00BF1F39"/>
    <w:rsid w:val="00C13A9F"/>
    <w:rsid w:val="00C27733"/>
    <w:rsid w:val="00C30CC9"/>
    <w:rsid w:val="00C400D9"/>
    <w:rsid w:val="00C41354"/>
    <w:rsid w:val="00C5549A"/>
    <w:rsid w:val="00C60453"/>
    <w:rsid w:val="00C60A07"/>
    <w:rsid w:val="00C60ABA"/>
    <w:rsid w:val="00C612F4"/>
    <w:rsid w:val="00C6677E"/>
    <w:rsid w:val="00C7683A"/>
    <w:rsid w:val="00C87F44"/>
    <w:rsid w:val="00C9221A"/>
    <w:rsid w:val="00CA0D8A"/>
    <w:rsid w:val="00CB22EE"/>
    <w:rsid w:val="00CB73EA"/>
    <w:rsid w:val="00CB77A8"/>
    <w:rsid w:val="00CC0EC9"/>
    <w:rsid w:val="00CE72AE"/>
    <w:rsid w:val="00CF6C55"/>
    <w:rsid w:val="00CF7616"/>
    <w:rsid w:val="00D0213B"/>
    <w:rsid w:val="00D10B50"/>
    <w:rsid w:val="00D17317"/>
    <w:rsid w:val="00D2466A"/>
    <w:rsid w:val="00D26561"/>
    <w:rsid w:val="00D9041A"/>
    <w:rsid w:val="00D91BB9"/>
    <w:rsid w:val="00D961D1"/>
    <w:rsid w:val="00D968CB"/>
    <w:rsid w:val="00DA4B51"/>
    <w:rsid w:val="00DB46CA"/>
    <w:rsid w:val="00DD08E2"/>
    <w:rsid w:val="00DF3CF8"/>
    <w:rsid w:val="00E1244B"/>
    <w:rsid w:val="00E16F9A"/>
    <w:rsid w:val="00E20B1F"/>
    <w:rsid w:val="00E31758"/>
    <w:rsid w:val="00E406C7"/>
    <w:rsid w:val="00E406E7"/>
    <w:rsid w:val="00E73A52"/>
    <w:rsid w:val="00E82636"/>
    <w:rsid w:val="00E85CF7"/>
    <w:rsid w:val="00EA6F90"/>
    <w:rsid w:val="00EB4971"/>
    <w:rsid w:val="00EB5BB1"/>
    <w:rsid w:val="00ED10C1"/>
    <w:rsid w:val="00ED4694"/>
    <w:rsid w:val="00EF1483"/>
    <w:rsid w:val="00EF244B"/>
    <w:rsid w:val="00EF3428"/>
    <w:rsid w:val="00F03648"/>
    <w:rsid w:val="00F03B0D"/>
    <w:rsid w:val="00F14029"/>
    <w:rsid w:val="00F429D6"/>
    <w:rsid w:val="00F51EE7"/>
    <w:rsid w:val="00F66101"/>
    <w:rsid w:val="00F8123F"/>
    <w:rsid w:val="00F82C1A"/>
    <w:rsid w:val="00F87D48"/>
    <w:rsid w:val="00F9000F"/>
    <w:rsid w:val="00F91F38"/>
    <w:rsid w:val="00F93CA4"/>
    <w:rsid w:val="00FB255D"/>
    <w:rsid w:val="00FB3F35"/>
    <w:rsid w:val="00FB4029"/>
    <w:rsid w:val="00FB580B"/>
    <w:rsid w:val="00FE1036"/>
    <w:rsid w:val="00FF0878"/>
    <w:rsid w:val="010615A7"/>
    <w:rsid w:val="01112458"/>
    <w:rsid w:val="01170D44"/>
    <w:rsid w:val="011B3294"/>
    <w:rsid w:val="012370DA"/>
    <w:rsid w:val="012534BC"/>
    <w:rsid w:val="01287921"/>
    <w:rsid w:val="012B00AA"/>
    <w:rsid w:val="012D7DFA"/>
    <w:rsid w:val="012E0F2C"/>
    <w:rsid w:val="013150FE"/>
    <w:rsid w:val="0132126C"/>
    <w:rsid w:val="01366F84"/>
    <w:rsid w:val="01371D49"/>
    <w:rsid w:val="01376D9B"/>
    <w:rsid w:val="01381C75"/>
    <w:rsid w:val="013B18AA"/>
    <w:rsid w:val="013B2096"/>
    <w:rsid w:val="013C3D62"/>
    <w:rsid w:val="014164C9"/>
    <w:rsid w:val="01447024"/>
    <w:rsid w:val="0149689E"/>
    <w:rsid w:val="01496D5D"/>
    <w:rsid w:val="014E592D"/>
    <w:rsid w:val="014F03EF"/>
    <w:rsid w:val="0151584D"/>
    <w:rsid w:val="01543C57"/>
    <w:rsid w:val="015E5B0F"/>
    <w:rsid w:val="01613E7E"/>
    <w:rsid w:val="01643A67"/>
    <w:rsid w:val="016C2A1D"/>
    <w:rsid w:val="016C3810"/>
    <w:rsid w:val="017E6EF7"/>
    <w:rsid w:val="01845A4D"/>
    <w:rsid w:val="018677C3"/>
    <w:rsid w:val="018A0D1D"/>
    <w:rsid w:val="018B4682"/>
    <w:rsid w:val="019F4320"/>
    <w:rsid w:val="01A34C5D"/>
    <w:rsid w:val="01A43A11"/>
    <w:rsid w:val="01A86149"/>
    <w:rsid w:val="01A92418"/>
    <w:rsid w:val="01AF5DAB"/>
    <w:rsid w:val="01B23129"/>
    <w:rsid w:val="01B36454"/>
    <w:rsid w:val="01B67E02"/>
    <w:rsid w:val="01B97E54"/>
    <w:rsid w:val="01BC0EF3"/>
    <w:rsid w:val="01BF4C22"/>
    <w:rsid w:val="01C72465"/>
    <w:rsid w:val="01CA3F1A"/>
    <w:rsid w:val="01D60A6D"/>
    <w:rsid w:val="01E0776A"/>
    <w:rsid w:val="01EA72E7"/>
    <w:rsid w:val="01EC3E90"/>
    <w:rsid w:val="01F30CCD"/>
    <w:rsid w:val="01F326A0"/>
    <w:rsid w:val="01F3576D"/>
    <w:rsid w:val="01F52F1A"/>
    <w:rsid w:val="01FA08DC"/>
    <w:rsid w:val="01FE04CA"/>
    <w:rsid w:val="02011036"/>
    <w:rsid w:val="020300DE"/>
    <w:rsid w:val="02035DCB"/>
    <w:rsid w:val="020425F9"/>
    <w:rsid w:val="0208328B"/>
    <w:rsid w:val="020A33DD"/>
    <w:rsid w:val="020B122C"/>
    <w:rsid w:val="02114913"/>
    <w:rsid w:val="021262AC"/>
    <w:rsid w:val="02151E5A"/>
    <w:rsid w:val="02170F68"/>
    <w:rsid w:val="02182C28"/>
    <w:rsid w:val="022F06A1"/>
    <w:rsid w:val="02313145"/>
    <w:rsid w:val="0233674E"/>
    <w:rsid w:val="0240209A"/>
    <w:rsid w:val="024239D0"/>
    <w:rsid w:val="02425840"/>
    <w:rsid w:val="02502671"/>
    <w:rsid w:val="02505F07"/>
    <w:rsid w:val="02530FD5"/>
    <w:rsid w:val="02534B27"/>
    <w:rsid w:val="02554BFF"/>
    <w:rsid w:val="025846E8"/>
    <w:rsid w:val="025D77C0"/>
    <w:rsid w:val="02606C7C"/>
    <w:rsid w:val="02636BFD"/>
    <w:rsid w:val="02654419"/>
    <w:rsid w:val="026545D9"/>
    <w:rsid w:val="02661A0A"/>
    <w:rsid w:val="02697A8E"/>
    <w:rsid w:val="027033ED"/>
    <w:rsid w:val="02717B5D"/>
    <w:rsid w:val="02721689"/>
    <w:rsid w:val="02750C08"/>
    <w:rsid w:val="02757F6D"/>
    <w:rsid w:val="02800FF3"/>
    <w:rsid w:val="02817E64"/>
    <w:rsid w:val="02832A46"/>
    <w:rsid w:val="028644F3"/>
    <w:rsid w:val="028819E1"/>
    <w:rsid w:val="02897589"/>
    <w:rsid w:val="0290774E"/>
    <w:rsid w:val="02A63D2C"/>
    <w:rsid w:val="02A76057"/>
    <w:rsid w:val="02A81A97"/>
    <w:rsid w:val="02AD4A2B"/>
    <w:rsid w:val="02AE202D"/>
    <w:rsid w:val="02B13D13"/>
    <w:rsid w:val="02B20C36"/>
    <w:rsid w:val="02B33231"/>
    <w:rsid w:val="02B71A16"/>
    <w:rsid w:val="02BA783D"/>
    <w:rsid w:val="02BC1DAE"/>
    <w:rsid w:val="02C75858"/>
    <w:rsid w:val="02CF49AD"/>
    <w:rsid w:val="02D50387"/>
    <w:rsid w:val="02D90516"/>
    <w:rsid w:val="02DB2262"/>
    <w:rsid w:val="02DB634B"/>
    <w:rsid w:val="02DC00F0"/>
    <w:rsid w:val="02DE4CCF"/>
    <w:rsid w:val="02E335BF"/>
    <w:rsid w:val="02EC2CCA"/>
    <w:rsid w:val="02F2071D"/>
    <w:rsid w:val="02F37050"/>
    <w:rsid w:val="02F6531C"/>
    <w:rsid w:val="02FA25DD"/>
    <w:rsid w:val="03012129"/>
    <w:rsid w:val="030B6598"/>
    <w:rsid w:val="030B6E87"/>
    <w:rsid w:val="031015DD"/>
    <w:rsid w:val="031372F7"/>
    <w:rsid w:val="031567C1"/>
    <w:rsid w:val="031D6797"/>
    <w:rsid w:val="031F008F"/>
    <w:rsid w:val="03257C80"/>
    <w:rsid w:val="032F1BC8"/>
    <w:rsid w:val="033216D5"/>
    <w:rsid w:val="03354765"/>
    <w:rsid w:val="033657AF"/>
    <w:rsid w:val="033B41CA"/>
    <w:rsid w:val="03443B9E"/>
    <w:rsid w:val="03456A87"/>
    <w:rsid w:val="034601C3"/>
    <w:rsid w:val="034923A6"/>
    <w:rsid w:val="034A0F51"/>
    <w:rsid w:val="034A1788"/>
    <w:rsid w:val="034D2EE2"/>
    <w:rsid w:val="035C137C"/>
    <w:rsid w:val="035E49BF"/>
    <w:rsid w:val="036013C6"/>
    <w:rsid w:val="03626825"/>
    <w:rsid w:val="036352DA"/>
    <w:rsid w:val="03682F7A"/>
    <w:rsid w:val="036D5D95"/>
    <w:rsid w:val="037F2438"/>
    <w:rsid w:val="03812B12"/>
    <w:rsid w:val="03853CC8"/>
    <w:rsid w:val="038E3123"/>
    <w:rsid w:val="038F39A8"/>
    <w:rsid w:val="03906B6D"/>
    <w:rsid w:val="03935743"/>
    <w:rsid w:val="03967BC3"/>
    <w:rsid w:val="03972ACB"/>
    <w:rsid w:val="039A0EF7"/>
    <w:rsid w:val="039C04F5"/>
    <w:rsid w:val="039C1310"/>
    <w:rsid w:val="03A664E6"/>
    <w:rsid w:val="03A80062"/>
    <w:rsid w:val="03AC4AF7"/>
    <w:rsid w:val="03B62451"/>
    <w:rsid w:val="03BD540F"/>
    <w:rsid w:val="03BF0D7B"/>
    <w:rsid w:val="03CB2A60"/>
    <w:rsid w:val="03CD4419"/>
    <w:rsid w:val="03CF2556"/>
    <w:rsid w:val="03D004D9"/>
    <w:rsid w:val="03D2307E"/>
    <w:rsid w:val="03D252DF"/>
    <w:rsid w:val="03D2678B"/>
    <w:rsid w:val="03D57506"/>
    <w:rsid w:val="03D66F60"/>
    <w:rsid w:val="03E17D26"/>
    <w:rsid w:val="03E3299A"/>
    <w:rsid w:val="03E7014E"/>
    <w:rsid w:val="03E959E4"/>
    <w:rsid w:val="03EC222F"/>
    <w:rsid w:val="03EE4ECE"/>
    <w:rsid w:val="03F647FF"/>
    <w:rsid w:val="03FA2ACB"/>
    <w:rsid w:val="03FE4B28"/>
    <w:rsid w:val="040233E9"/>
    <w:rsid w:val="04036F97"/>
    <w:rsid w:val="04077F66"/>
    <w:rsid w:val="040C7417"/>
    <w:rsid w:val="040E3A2A"/>
    <w:rsid w:val="0414232C"/>
    <w:rsid w:val="041639A5"/>
    <w:rsid w:val="041704B5"/>
    <w:rsid w:val="041E08FB"/>
    <w:rsid w:val="041E504B"/>
    <w:rsid w:val="04226569"/>
    <w:rsid w:val="04340F75"/>
    <w:rsid w:val="04357D70"/>
    <w:rsid w:val="043D4568"/>
    <w:rsid w:val="043D47A5"/>
    <w:rsid w:val="043D62CA"/>
    <w:rsid w:val="043E543F"/>
    <w:rsid w:val="044411DA"/>
    <w:rsid w:val="04501EB9"/>
    <w:rsid w:val="04506958"/>
    <w:rsid w:val="04544FAA"/>
    <w:rsid w:val="0455164A"/>
    <w:rsid w:val="0457533F"/>
    <w:rsid w:val="04595BC8"/>
    <w:rsid w:val="045C04A4"/>
    <w:rsid w:val="0464678D"/>
    <w:rsid w:val="0465124F"/>
    <w:rsid w:val="04655213"/>
    <w:rsid w:val="046934B8"/>
    <w:rsid w:val="046C0127"/>
    <w:rsid w:val="0474483F"/>
    <w:rsid w:val="04771DB9"/>
    <w:rsid w:val="04793B62"/>
    <w:rsid w:val="0479704E"/>
    <w:rsid w:val="047F676B"/>
    <w:rsid w:val="047F79B2"/>
    <w:rsid w:val="04940D2B"/>
    <w:rsid w:val="04951222"/>
    <w:rsid w:val="049839A6"/>
    <w:rsid w:val="049F5FEC"/>
    <w:rsid w:val="04A3181A"/>
    <w:rsid w:val="04A36FEA"/>
    <w:rsid w:val="04A81F7C"/>
    <w:rsid w:val="04AE0DFA"/>
    <w:rsid w:val="04AF6F40"/>
    <w:rsid w:val="04B5351D"/>
    <w:rsid w:val="04B975CD"/>
    <w:rsid w:val="04BD464F"/>
    <w:rsid w:val="04BD642F"/>
    <w:rsid w:val="04BD698E"/>
    <w:rsid w:val="04C3684D"/>
    <w:rsid w:val="04C45E06"/>
    <w:rsid w:val="04C4750C"/>
    <w:rsid w:val="04C8585D"/>
    <w:rsid w:val="04C876DA"/>
    <w:rsid w:val="04C9670A"/>
    <w:rsid w:val="04D32887"/>
    <w:rsid w:val="04D36C50"/>
    <w:rsid w:val="04D81A11"/>
    <w:rsid w:val="04DA13E5"/>
    <w:rsid w:val="04DF36D6"/>
    <w:rsid w:val="04E33431"/>
    <w:rsid w:val="04E51A70"/>
    <w:rsid w:val="04EA5698"/>
    <w:rsid w:val="04EE7674"/>
    <w:rsid w:val="04EF587F"/>
    <w:rsid w:val="04EF5AFB"/>
    <w:rsid w:val="04F80069"/>
    <w:rsid w:val="04F90AF0"/>
    <w:rsid w:val="04F90BB9"/>
    <w:rsid w:val="05023145"/>
    <w:rsid w:val="05025B80"/>
    <w:rsid w:val="05046723"/>
    <w:rsid w:val="05057B04"/>
    <w:rsid w:val="05084258"/>
    <w:rsid w:val="05097098"/>
    <w:rsid w:val="050B4C96"/>
    <w:rsid w:val="05103327"/>
    <w:rsid w:val="05150ACD"/>
    <w:rsid w:val="051A3854"/>
    <w:rsid w:val="051F40C8"/>
    <w:rsid w:val="052137F1"/>
    <w:rsid w:val="05225DA4"/>
    <w:rsid w:val="05230FFB"/>
    <w:rsid w:val="05271A7F"/>
    <w:rsid w:val="05297E0F"/>
    <w:rsid w:val="052A58CE"/>
    <w:rsid w:val="052C2978"/>
    <w:rsid w:val="053438A8"/>
    <w:rsid w:val="05364186"/>
    <w:rsid w:val="0539563E"/>
    <w:rsid w:val="053C7C19"/>
    <w:rsid w:val="053F3E3B"/>
    <w:rsid w:val="054172DE"/>
    <w:rsid w:val="0542158A"/>
    <w:rsid w:val="05467B9A"/>
    <w:rsid w:val="0547319B"/>
    <w:rsid w:val="054933A7"/>
    <w:rsid w:val="05521046"/>
    <w:rsid w:val="05522E10"/>
    <w:rsid w:val="055312D4"/>
    <w:rsid w:val="05560620"/>
    <w:rsid w:val="055E48B8"/>
    <w:rsid w:val="05646EEF"/>
    <w:rsid w:val="05657AE8"/>
    <w:rsid w:val="056629F5"/>
    <w:rsid w:val="05676EDD"/>
    <w:rsid w:val="056A4EFC"/>
    <w:rsid w:val="05706DBD"/>
    <w:rsid w:val="05712889"/>
    <w:rsid w:val="05751A66"/>
    <w:rsid w:val="05795DA9"/>
    <w:rsid w:val="058879CF"/>
    <w:rsid w:val="058A6C32"/>
    <w:rsid w:val="058E4342"/>
    <w:rsid w:val="058E7502"/>
    <w:rsid w:val="05920723"/>
    <w:rsid w:val="05983843"/>
    <w:rsid w:val="05990473"/>
    <w:rsid w:val="05995A03"/>
    <w:rsid w:val="05AA09D8"/>
    <w:rsid w:val="05AD5920"/>
    <w:rsid w:val="05AF250F"/>
    <w:rsid w:val="05B95A3F"/>
    <w:rsid w:val="05B96023"/>
    <w:rsid w:val="05BC741F"/>
    <w:rsid w:val="05C03B24"/>
    <w:rsid w:val="05C93448"/>
    <w:rsid w:val="05CC15CD"/>
    <w:rsid w:val="05D14E20"/>
    <w:rsid w:val="05D870E1"/>
    <w:rsid w:val="05DA3F00"/>
    <w:rsid w:val="05DC4A31"/>
    <w:rsid w:val="05DD310B"/>
    <w:rsid w:val="05DF5712"/>
    <w:rsid w:val="05E10EFD"/>
    <w:rsid w:val="05E24C7B"/>
    <w:rsid w:val="05E55B5A"/>
    <w:rsid w:val="05E647B4"/>
    <w:rsid w:val="05EA11E2"/>
    <w:rsid w:val="05EA32F3"/>
    <w:rsid w:val="05EB1756"/>
    <w:rsid w:val="05EB1DA8"/>
    <w:rsid w:val="05EC15E1"/>
    <w:rsid w:val="05F02DF2"/>
    <w:rsid w:val="05F13938"/>
    <w:rsid w:val="05F40EFE"/>
    <w:rsid w:val="05F467AE"/>
    <w:rsid w:val="05F76467"/>
    <w:rsid w:val="05F8114C"/>
    <w:rsid w:val="05FB0D73"/>
    <w:rsid w:val="05FC25C7"/>
    <w:rsid w:val="05FF219C"/>
    <w:rsid w:val="0604109E"/>
    <w:rsid w:val="06053464"/>
    <w:rsid w:val="060828D1"/>
    <w:rsid w:val="060F0EAF"/>
    <w:rsid w:val="061241C4"/>
    <w:rsid w:val="06156A67"/>
    <w:rsid w:val="061930D9"/>
    <w:rsid w:val="0619721E"/>
    <w:rsid w:val="061A2B82"/>
    <w:rsid w:val="061C4B80"/>
    <w:rsid w:val="0624746C"/>
    <w:rsid w:val="06257970"/>
    <w:rsid w:val="06287DBF"/>
    <w:rsid w:val="062A4D36"/>
    <w:rsid w:val="062C369C"/>
    <w:rsid w:val="062F4C9E"/>
    <w:rsid w:val="06302C0B"/>
    <w:rsid w:val="06336E26"/>
    <w:rsid w:val="06341D70"/>
    <w:rsid w:val="063558A8"/>
    <w:rsid w:val="06382683"/>
    <w:rsid w:val="063849F3"/>
    <w:rsid w:val="063F4DE8"/>
    <w:rsid w:val="0644394C"/>
    <w:rsid w:val="06520EAD"/>
    <w:rsid w:val="06520F0F"/>
    <w:rsid w:val="06530F0A"/>
    <w:rsid w:val="065418CD"/>
    <w:rsid w:val="065630FD"/>
    <w:rsid w:val="065873B5"/>
    <w:rsid w:val="065D78EA"/>
    <w:rsid w:val="065D7FBB"/>
    <w:rsid w:val="066506BA"/>
    <w:rsid w:val="06692C07"/>
    <w:rsid w:val="066A6709"/>
    <w:rsid w:val="066A7A79"/>
    <w:rsid w:val="066C22D5"/>
    <w:rsid w:val="066D2E23"/>
    <w:rsid w:val="067C67D5"/>
    <w:rsid w:val="067F4006"/>
    <w:rsid w:val="068001FC"/>
    <w:rsid w:val="0686085F"/>
    <w:rsid w:val="06861E92"/>
    <w:rsid w:val="06881B2C"/>
    <w:rsid w:val="0688403B"/>
    <w:rsid w:val="06894024"/>
    <w:rsid w:val="068A27F2"/>
    <w:rsid w:val="068C6712"/>
    <w:rsid w:val="06934CF8"/>
    <w:rsid w:val="06954E66"/>
    <w:rsid w:val="0696535A"/>
    <w:rsid w:val="069B0A8B"/>
    <w:rsid w:val="069E5CB6"/>
    <w:rsid w:val="06A27F7D"/>
    <w:rsid w:val="06A5110F"/>
    <w:rsid w:val="06A738BA"/>
    <w:rsid w:val="06A9377C"/>
    <w:rsid w:val="06A95700"/>
    <w:rsid w:val="06AA4186"/>
    <w:rsid w:val="06AE477D"/>
    <w:rsid w:val="06B27572"/>
    <w:rsid w:val="06B323C3"/>
    <w:rsid w:val="06B73E54"/>
    <w:rsid w:val="06B773F3"/>
    <w:rsid w:val="06BC7500"/>
    <w:rsid w:val="06BE585C"/>
    <w:rsid w:val="06C21CBD"/>
    <w:rsid w:val="06C25B1A"/>
    <w:rsid w:val="06C417BE"/>
    <w:rsid w:val="06C93264"/>
    <w:rsid w:val="06CA19D1"/>
    <w:rsid w:val="06D05719"/>
    <w:rsid w:val="06D22E00"/>
    <w:rsid w:val="06D45225"/>
    <w:rsid w:val="06D665CE"/>
    <w:rsid w:val="06DA2E07"/>
    <w:rsid w:val="06DB6C74"/>
    <w:rsid w:val="06E875A3"/>
    <w:rsid w:val="06EC66E0"/>
    <w:rsid w:val="06EF16D1"/>
    <w:rsid w:val="06F54668"/>
    <w:rsid w:val="06F922DC"/>
    <w:rsid w:val="06F93658"/>
    <w:rsid w:val="06FD2144"/>
    <w:rsid w:val="06FD7D21"/>
    <w:rsid w:val="07051CF3"/>
    <w:rsid w:val="07065F02"/>
    <w:rsid w:val="070E5B69"/>
    <w:rsid w:val="070E64FC"/>
    <w:rsid w:val="0710278A"/>
    <w:rsid w:val="07153E89"/>
    <w:rsid w:val="0718723F"/>
    <w:rsid w:val="071B2261"/>
    <w:rsid w:val="072924D7"/>
    <w:rsid w:val="07294629"/>
    <w:rsid w:val="07311317"/>
    <w:rsid w:val="07316E58"/>
    <w:rsid w:val="07326747"/>
    <w:rsid w:val="073368F9"/>
    <w:rsid w:val="073D3858"/>
    <w:rsid w:val="074339E7"/>
    <w:rsid w:val="07442619"/>
    <w:rsid w:val="07446487"/>
    <w:rsid w:val="0748634C"/>
    <w:rsid w:val="07497049"/>
    <w:rsid w:val="07515D46"/>
    <w:rsid w:val="075825C9"/>
    <w:rsid w:val="07585884"/>
    <w:rsid w:val="07591971"/>
    <w:rsid w:val="075A17A6"/>
    <w:rsid w:val="075D562A"/>
    <w:rsid w:val="07693151"/>
    <w:rsid w:val="076A3E98"/>
    <w:rsid w:val="076B1F61"/>
    <w:rsid w:val="076E6588"/>
    <w:rsid w:val="07704129"/>
    <w:rsid w:val="077649CA"/>
    <w:rsid w:val="077726D2"/>
    <w:rsid w:val="07777547"/>
    <w:rsid w:val="07780CC8"/>
    <w:rsid w:val="0779569A"/>
    <w:rsid w:val="077A31D9"/>
    <w:rsid w:val="077B11B5"/>
    <w:rsid w:val="0785361A"/>
    <w:rsid w:val="07855D8B"/>
    <w:rsid w:val="07873ED9"/>
    <w:rsid w:val="07877C93"/>
    <w:rsid w:val="078B4E2C"/>
    <w:rsid w:val="07946F9C"/>
    <w:rsid w:val="07996868"/>
    <w:rsid w:val="079E3313"/>
    <w:rsid w:val="07A228E4"/>
    <w:rsid w:val="07A7073D"/>
    <w:rsid w:val="07B0287E"/>
    <w:rsid w:val="07B37E7A"/>
    <w:rsid w:val="07B44257"/>
    <w:rsid w:val="07BE007D"/>
    <w:rsid w:val="07C73D77"/>
    <w:rsid w:val="07D26BE4"/>
    <w:rsid w:val="07D46F02"/>
    <w:rsid w:val="07D4783E"/>
    <w:rsid w:val="07D47C79"/>
    <w:rsid w:val="07D72751"/>
    <w:rsid w:val="07D7372F"/>
    <w:rsid w:val="07DB2271"/>
    <w:rsid w:val="07DE5DB3"/>
    <w:rsid w:val="07E04706"/>
    <w:rsid w:val="07E31091"/>
    <w:rsid w:val="07EA0FCF"/>
    <w:rsid w:val="07EA75A1"/>
    <w:rsid w:val="07F619A0"/>
    <w:rsid w:val="07FC3152"/>
    <w:rsid w:val="07FE0412"/>
    <w:rsid w:val="07FE6D60"/>
    <w:rsid w:val="08070549"/>
    <w:rsid w:val="0808333E"/>
    <w:rsid w:val="080B551E"/>
    <w:rsid w:val="080E47D1"/>
    <w:rsid w:val="08157AD2"/>
    <w:rsid w:val="08160E8E"/>
    <w:rsid w:val="081D6D77"/>
    <w:rsid w:val="08231EA7"/>
    <w:rsid w:val="082F235E"/>
    <w:rsid w:val="082F2B2E"/>
    <w:rsid w:val="08343294"/>
    <w:rsid w:val="083459EA"/>
    <w:rsid w:val="08365E65"/>
    <w:rsid w:val="0837628D"/>
    <w:rsid w:val="08395955"/>
    <w:rsid w:val="083D5BF5"/>
    <w:rsid w:val="084148C4"/>
    <w:rsid w:val="08486212"/>
    <w:rsid w:val="084C0BDB"/>
    <w:rsid w:val="084E70AE"/>
    <w:rsid w:val="084F3399"/>
    <w:rsid w:val="08563B13"/>
    <w:rsid w:val="085B59D7"/>
    <w:rsid w:val="0863254D"/>
    <w:rsid w:val="08636594"/>
    <w:rsid w:val="08644653"/>
    <w:rsid w:val="086C7FC2"/>
    <w:rsid w:val="0871467B"/>
    <w:rsid w:val="087276F7"/>
    <w:rsid w:val="087B5F6E"/>
    <w:rsid w:val="087E74D5"/>
    <w:rsid w:val="087F604F"/>
    <w:rsid w:val="08872B64"/>
    <w:rsid w:val="08922A21"/>
    <w:rsid w:val="08964EB7"/>
    <w:rsid w:val="0899116A"/>
    <w:rsid w:val="08991CC1"/>
    <w:rsid w:val="089F4F41"/>
    <w:rsid w:val="08A0534E"/>
    <w:rsid w:val="08A52D5B"/>
    <w:rsid w:val="08A61AEE"/>
    <w:rsid w:val="08AA49C5"/>
    <w:rsid w:val="08AA4D02"/>
    <w:rsid w:val="08AC4379"/>
    <w:rsid w:val="08AD0845"/>
    <w:rsid w:val="08AE286A"/>
    <w:rsid w:val="08AE2E33"/>
    <w:rsid w:val="08AF1DE1"/>
    <w:rsid w:val="08B1198F"/>
    <w:rsid w:val="08B32EE4"/>
    <w:rsid w:val="08B651F8"/>
    <w:rsid w:val="08B87450"/>
    <w:rsid w:val="08BD25F7"/>
    <w:rsid w:val="08C11C46"/>
    <w:rsid w:val="08C13118"/>
    <w:rsid w:val="08C20C8B"/>
    <w:rsid w:val="08C3381A"/>
    <w:rsid w:val="08C61EF3"/>
    <w:rsid w:val="08CA479F"/>
    <w:rsid w:val="08D6434F"/>
    <w:rsid w:val="08D70AE3"/>
    <w:rsid w:val="08DA6FDC"/>
    <w:rsid w:val="08DC76B8"/>
    <w:rsid w:val="08DE0738"/>
    <w:rsid w:val="08E4741B"/>
    <w:rsid w:val="08E71EAC"/>
    <w:rsid w:val="08EA24F2"/>
    <w:rsid w:val="08EB4E3F"/>
    <w:rsid w:val="08EF4930"/>
    <w:rsid w:val="08EF5E66"/>
    <w:rsid w:val="090068BF"/>
    <w:rsid w:val="090151BF"/>
    <w:rsid w:val="09033ACF"/>
    <w:rsid w:val="09074D7A"/>
    <w:rsid w:val="0919521A"/>
    <w:rsid w:val="09281363"/>
    <w:rsid w:val="092E3CF3"/>
    <w:rsid w:val="092E45E1"/>
    <w:rsid w:val="092F200C"/>
    <w:rsid w:val="093143AE"/>
    <w:rsid w:val="093635EF"/>
    <w:rsid w:val="093677DE"/>
    <w:rsid w:val="09395877"/>
    <w:rsid w:val="09420662"/>
    <w:rsid w:val="094F01AF"/>
    <w:rsid w:val="09534428"/>
    <w:rsid w:val="096364B2"/>
    <w:rsid w:val="09636A93"/>
    <w:rsid w:val="09675933"/>
    <w:rsid w:val="096E27BA"/>
    <w:rsid w:val="096F4914"/>
    <w:rsid w:val="09721AA5"/>
    <w:rsid w:val="09775564"/>
    <w:rsid w:val="09776735"/>
    <w:rsid w:val="09777896"/>
    <w:rsid w:val="097A3797"/>
    <w:rsid w:val="097C4628"/>
    <w:rsid w:val="09812BBA"/>
    <w:rsid w:val="09815AA0"/>
    <w:rsid w:val="09834CFB"/>
    <w:rsid w:val="09843456"/>
    <w:rsid w:val="0989685B"/>
    <w:rsid w:val="098F7701"/>
    <w:rsid w:val="09907F23"/>
    <w:rsid w:val="099D5B9D"/>
    <w:rsid w:val="099F7A3A"/>
    <w:rsid w:val="09A13788"/>
    <w:rsid w:val="09A64DEA"/>
    <w:rsid w:val="09AE2DFC"/>
    <w:rsid w:val="09AF4121"/>
    <w:rsid w:val="09AF5102"/>
    <w:rsid w:val="09B06E78"/>
    <w:rsid w:val="09B1275F"/>
    <w:rsid w:val="09B1533C"/>
    <w:rsid w:val="09B15DE2"/>
    <w:rsid w:val="09B94908"/>
    <w:rsid w:val="09BE60BE"/>
    <w:rsid w:val="09CB4565"/>
    <w:rsid w:val="09CC117D"/>
    <w:rsid w:val="09CD74FB"/>
    <w:rsid w:val="09CE0752"/>
    <w:rsid w:val="09CE36FE"/>
    <w:rsid w:val="09D10958"/>
    <w:rsid w:val="09D76D65"/>
    <w:rsid w:val="09DA61A3"/>
    <w:rsid w:val="09E73BB9"/>
    <w:rsid w:val="09F02B4B"/>
    <w:rsid w:val="09FA4E5B"/>
    <w:rsid w:val="09FD4CB3"/>
    <w:rsid w:val="09FF386E"/>
    <w:rsid w:val="0A067AB9"/>
    <w:rsid w:val="0A0C2BDD"/>
    <w:rsid w:val="0A116E12"/>
    <w:rsid w:val="0A132394"/>
    <w:rsid w:val="0A183ED1"/>
    <w:rsid w:val="0A1B4577"/>
    <w:rsid w:val="0A1C5D91"/>
    <w:rsid w:val="0A1F0F12"/>
    <w:rsid w:val="0A226EAE"/>
    <w:rsid w:val="0A244CD2"/>
    <w:rsid w:val="0A2517E5"/>
    <w:rsid w:val="0A2909ED"/>
    <w:rsid w:val="0A320FA1"/>
    <w:rsid w:val="0A381812"/>
    <w:rsid w:val="0A3B501E"/>
    <w:rsid w:val="0A411221"/>
    <w:rsid w:val="0A441A12"/>
    <w:rsid w:val="0A4C3694"/>
    <w:rsid w:val="0A515009"/>
    <w:rsid w:val="0A560DAE"/>
    <w:rsid w:val="0A56500A"/>
    <w:rsid w:val="0A594318"/>
    <w:rsid w:val="0A5944BF"/>
    <w:rsid w:val="0A5B7804"/>
    <w:rsid w:val="0A637F8A"/>
    <w:rsid w:val="0A6B5373"/>
    <w:rsid w:val="0A6C78E9"/>
    <w:rsid w:val="0A6E1FEA"/>
    <w:rsid w:val="0A715D3D"/>
    <w:rsid w:val="0A73680A"/>
    <w:rsid w:val="0A746774"/>
    <w:rsid w:val="0A7A5A13"/>
    <w:rsid w:val="0A7A6E85"/>
    <w:rsid w:val="0A7D147A"/>
    <w:rsid w:val="0A80510F"/>
    <w:rsid w:val="0A816D0E"/>
    <w:rsid w:val="0A8834A1"/>
    <w:rsid w:val="0A8A6A60"/>
    <w:rsid w:val="0A8A6D71"/>
    <w:rsid w:val="0A8F4DFA"/>
    <w:rsid w:val="0A907A45"/>
    <w:rsid w:val="0A93448B"/>
    <w:rsid w:val="0A963C36"/>
    <w:rsid w:val="0A9719C3"/>
    <w:rsid w:val="0A9A4A52"/>
    <w:rsid w:val="0AA33C37"/>
    <w:rsid w:val="0AA56496"/>
    <w:rsid w:val="0AAA3821"/>
    <w:rsid w:val="0ABC20FC"/>
    <w:rsid w:val="0AC60A37"/>
    <w:rsid w:val="0ACD4604"/>
    <w:rsid w:val="0ACD6CE8"/>
    <w:rsid w:val="0ACD7FC6"/>
    <w:rsid w:val="0AD303DD"/>
    <w:rsid w:val="0AD7258C"/>
    <w:rsid w:val="0ADA1F22"/>
    <w:rsid w:val="0AE03780"/>
    <w:rsid w:val="0AE10225"/>
    <w:rsid w:val="0AE27855"/>
    <w:rsid w:val="0AE37466"/>
    <w:rsid w:val="0AE55DA9"/>
    <w:rsid w:val="0AEB7B34"/>
    <w:rsid w:val="0AEF22A8"/>
    <w:rsid w:val="0AF66758"/>
    <w:rsid w:val="0AF948D9"/>
    <w:rsid w:val="0AFA0FE2"/>
    <w:rsid w:val="0AFA3482"/>
    <w:rsid w:val="0AFE1397"/>
    <w:rsid w:val="0B013933"/>
    <w:rsid w:val="0B030C8A"/>
    <w:rsid w:val="0B0631C7"/>
    <w:rsid w:val="0B0678E1"/>
    <w:rsid w:val="0B0B5F93"/>
    <w:rsid w:val="0B0C185C"/>
    <w:rsid w:val="0B0E66FA"/>
    <w:rsid w:val="0B0F299D"/>
    <w:rsid w:val="0B0F30D7"/>
    <w:rsid w:val="0B185C54"/>
    <w:rsid w:val="0B1B26F2"/>
    <w:rsid w:val="0B1B56B9"/>
    <w:rsid w:val="0B1D0D81"/>
    <w:rsid w:val="0B1D10D3"/>
    <w:rsid w:val="0B1F7C4D"/>
    <w:rsid w:val="0B257FC4"/>
    <w:rsid w:val="0B291BF8"/>
    <w:rsid w:val="0B3144B1"/>
    <w:rsid w:val="0B3B2092"/>
    <w:rsid w:val="0B3C0075"/>
    <w:rsid w:val="0B423523"/>
    <w:rsid w:val="0B4837ED"/>
    <w:rsid w:val="0B491B78"/>
    <w:rsid w:val="0B4A7485"/>
    <w:rsid w:val="0B4B7721"/>
    <w:rsid w:val="0B4C266C"/>
    <w:rsid w:val="0B4E1FFE"/>
    <w:rsid w:val="0B5237EE"/>
    <w:rsid w:val="0B532A0F"/>
    <w:rsid w:val="0B544196"/>
    <w:rsid w:val="0B5977C2"/>
    <w:rsid w:val="0B5E5DFE"/>
    <w:rsid w:val="0B615747"/>
    <w:rsid w:val="0B6535A4"/>
    <w:rsid w:val="0B672170"/>
    <w:rsid w:val="0B6B16B5"/>
    <w:rsid w:val="0B6C1BDD"/>
    <w:rsid w:val="0B753148"/>
    <w:rsid w:val="0B795C22"/>
    <w:rsid w:val="0B7A42CF"/>
    <w:rsid w:val="0B7C049F"/>
    <w:rsid w:val="0B85264E"/>
    <w:rsid w:val="0B867C02"/>
    <w:rsid w:val="0B875B8E"/>
    <w:rsid w:val="0B88257B"/>
    <w:rsid w:val="0B88606D"/>
    <w:rsid w:val="0B8A38D5"/>
    <w:rsid w:val="0B8F5FEF"/>
    <w:rsid w:val="0BA9627F"/>
    <w:rsid w:val="0BAA3AEC"/>
    <w:rsid w:val="0BAD16C3"/>
    <w:rsid w:val="0BAE0408"/>
    <w:rsid w:val="0BB0205D"/>
    <w:rsid w:val="0BBB6710"/>
    <w:rsid w:val="0BBC7A3B"/>
    <w:rsid w:val="0BBD6FE1"/>
    <w:rsid w:val="0BBE3B88"/>
    <w:rsid w:val="0BBF1EFE"/>
    <w:rsid w:val="0BBF2262"/>
    <w:rsid w:val="0BC52DED"/>
    <w:rsid w:val="0BC66808"/>
    <w:rsid w:val="0BCB6686"/>
    <w:rsid w:val="0BCD26F5"/>
    <w:rsid w:val="0BD06788"/>
    <w:rsid w:val="0BD20083"/>
    <w:rsid w:val="0BDD1EA3"/>
    <w:rsid w:val="0BE143FE"/>
    <w:rsid w:val="0BE21542"/>
    <w:rsid w:val="0BE34D9F"/>
    <w:rsid w:val="0BE76980"/>
    <w:rsid w:val="0BE94737"/>
    <w:rsid w:val="0BF01EA7"/>
    <w:rsid w:val="0BF25CB1"/>
    <w:rsid w:val="0BF27514"/>
    <w:rsid w:val="0BF33C99"/>
    <w:rsid w:val="0BF56C1B"/>
    <w:rsid w:val="0BF85018"/>
    <w:rsid w:val="0BF86BB3"/>
    <w:rsid w:val="0BFC6DF7"/>
    <w:rsid w:val="0BFD5CB2"/>
    <w:rsid w:val="0C0116EE"/>
    <w:rsid w:val="0C0D78B1"/>
    <w:rsid w:val="0C101CE7"/>
    <w:rsid w:val="0C113FD2"/>
    <w:rsid w:val="0C161248"/>
    <w:rsid w:val="0C16568F"/>
    <w:rsid w:val="0C201F05"/>
    <w:rsid w:val="0C2147CA"/>
    <w:rsid w:val="0C252478"/>
    <w:rsid w:val="0C274462"/>
    <w:rsid w:val="0C2970CA"/>
    <w:rsid w:val="0C2C3F04"/>
    <w:rsid w:val="0C3E5863"/>
    <w:rsid w:val="0C44347B"/>
    <w:rsid w:val="0C492C2A"/>
    <w:rsid w:val="0C4C2D6F"/>
    <w:rsid w:val="0C4E5F2A"/>
    <w:rsid w:val="0C531D2C"/>
    <w:rsid w:val="0C546E8C"/>
    <w:rsid w:val="0C5E598A"/>
    <w:rsid w:val="0C61550E"/>
    <w:rsid w:val="0C637445"/>
    <w:rsid w:val="0C6420DF"/>
    <w:rsid w:val="0C67233C"/>
    <w:rsid w:val="0C681790"/>
    <w:rsid w:val="0C694C0C"/>
    <w:rsid w:val="0C6E1405"/>
    <w:rsid w:val="0C6F3871"/>
    <w:rsid w:val="0C73661C"/>
    <w:rsid w:val="0C7A0046"/>
    <w:rsid w:val="0C7C3EFA"/>
    <w:rsid w:val="0C7C798F"/>
    <w:rsid w:val="0C7E2608"/>
    <w:rsid w:val="0C7F7228"/>
    <w:rsid w:val="0C8042B7"/>
    <w:rsid w:val="0C8069CD"/>
    <w:rsid w:val="0C807FF6"/>
    <w:rsid w:val="0C86049F"/>
    <w:rsid w:val="0C8F6BB2"/>
    <w:rsid w:val="0C907F9A"/>
    <w:rsid w:val="0C920AE6"/>
    <w:rsid w:val="0C92658D"/>
    <w:rsid w:val="0C98355D"/>
    <w:rsid w:val="0C990075"/>
    <w:rsid w:val="0C9F29E2"/>
    <w:rsid w:val="0C9F56C8"/>
    <w:rsid w:val="0CA130B5"/>
    <w:rsid w:val="0CAB00E3"/>
    <w:rsid w:val="0CAB278E"/>
    <w:rsid w:val="0CAC1188"/>
    <w:rsid w:val="0CB03DFD"/>
    <w:rsid w:val="0CB92E49"/>
    <w:rsid w:val="0CBE2F87"/>
    <w:rsid w:val="0CBE6E21"/>
    <w:rsid w:val="0CBF5CFF"/>
    <w:rsid w:val="0CC72642"/>
    <w:rsid w:val="0CC92F6C"/>
    <w:rsid w:val="0CCE2263"/>
    <w:rsid w:val="0CD0333F"/>
    <w:rsid w:val="0CD24673"/>
    <w:rsid w:val="0CD252E6"/>
    <w:rsid w:val="0CD53242"/>
    <w:rsid w:val="0CD86DF4"/>
    <w:rsid w:val="0CDE33D8"/>
    <w:rsid w:val="0CDE3CC0"/>
    <w:rsid w:val="0CE54FB3"/>
    <w:rsid w:val="0CE75EC4"/>
    <w:rsid w:val="0CF3255A"/>
    <w:rsid w:val="0CF779FF"/>
    <w:rsid w:val="0CFB1A52"/>
    <w:rsid w:val="0CFB2388"/>
    <w:rsid w:val="0CFB6F42"/>
    <w:rsid w:val="0CFC569E"/>
    <w:rsid w:val="0CFC7A53"/>
    <w:rsid w:val="0CFD630D"/>
    <w:rsid w:val="0D00173A"/>
    <w:rsid w:val="0D025A7C"/>
    <w:rsid w:val="0D085D6B"/>
    <w:rsid w:val="0D0E165E"/>
    <w:rsid w:val="0D0F18BD"/>
    <w:rsid w:val="0D102638"/>
    <w:rsid w:val="0D122182"/>
    <w:rsid w:val="0D1370DC"/>
    <w:rsid w:val="0D18387D"/>
    <w:rsid w:val="0D201BE0"/>
    <w:rsid w:val="0D2064EC"/>
    <w:rsid w:val="0D231518"/>
    <w:rsid w:val="0D287E0A"/>
    <w:rsid w:val="0D2B0F42"/>
    <w:rsid w:val="0D300733"/>
    <w:rsid w:val="0D307327"/>
    <w:rsid w:val="0D325E2D"/>
    <w:rsid w:val="0D344D0B"/>
    <w:rsid w:val="0D3A7312"/>
    <w:rsid w:val="0D3C7896"/>
    <w:rsid w:val="0D3D301F"/>
    <w:rsid w:val="0D3F329C"/>
    <w:rsid w:val="0D463FFA"/>
    <w:rsid w:val="0D47149D"/>
    <w:rsid w:val="0D487509"/>
    <w:rsid w:val="0D4C5E90"/>
    <w:rsid w:val="0D4D28A0"/>
    <w:rsid w:val="0D4E5A9A"/>
    <w:rsid w:val="0D507312"/>
    <w:rsid w:val="0D541BA8"/>
    <w:rsid w:val="0D575397"/>
    <w:rsid w:val="0D5C37C8"/>
    <w:rsid w:val="0D6276FC"/>
    <w:rsid w:val="0D63691C"/>
    <w:rsid w:val="0D693167"/>
    <w:rsid w:val="0D704FFB"/>
    <w:rsid w:val="0D756400"/>
    <w:rsid w:val="0D7734A0"/>
    <w:rsid w:val="0D79275E"/>
    <w:rsid w:val="0D7B6B04"/>
    <w:rsid w:val="0D8A5005"/>
    <w:rsid w:val="0D8B6C53"/>
    <w:rsid w:val="0D8E229F"/>
    <w:rsid w:val="0D901102"/>
    <w:rsid w:val="0D925B4F"/>
    <w:rsid w:val="0D953D4A"/>
    <w:rsid w:val="0D95759A"/>
    <w:rsid w:val="0D962B1E"/>
    <w:rsid w:val="0D990133"/>
    <w:rsid w:val="0D9F1D54"/>
    <w:rsid w:val="0D9F27E1"/>
    <w:rsid w:val="0DA37876"/>
    <w:rsid w:val="0DA76C64"/>
    <w:rsid w:val="0DAC40AA"/>
    <w:rsid w:val="0DAF67AD"/>
    <w:rsid w:val="0DB21460"/>
    <w:rsid w:val="0DB6230E"/>
    <w:rsid w:val="0DB66FF3"/>
    <w:rsid w:val="0DB71B4B"/>
    <w:rsid w:val="0DC02641"/>
    <w:rsid w:val="0DC74B70"/>
    <w:rsid w:val="0DCD2AB5"/>
    <w:rsid w:val="0DCD38E4"/>
    <w:rsid w:val="0DCF5682"/>
    <w:rsid w:val="0DCF5850"/>
    <w:rsid w:val="0DD14616"/>
    <w:rsid w:val="0DD620AC"/>
    <w:rsid w:val="0DDE1199"/>
    <w:rsid w:val="0DE1537F"/>
    <w:rsid w:val="0DE20F20"/>
    <w:rsid w:val="0DE229ED"/>
    <w:rsid w:val="0DE54091"/>
    <w:rsid w:val="0E007A5A"/>
    <w:rsid w:val="0E052EBB"/>
    <w:rsid w:val="0E0C21F9"/>
    <w:rsid w:val="0E127709"/>
    <w:rsid w:val="0E1302C7"/>
    <w:rsid w:val="0E1604E7"/>
    <w:rsid w:val="0E1814B7"/>
    <w:rsid w:val="0E1A2CAA"/>
    <w:rsid w:val="0E1C2BBB"/>
    <w:rsid w:val="0E256984"/>
    <w:rsid w:val="0E2754A5"/>
    <w:rsid w:val="0E28419B"/>
    <w:rsid w:val="0E2868EE"/>
    <w:rsid w:val="0E2973DA"/>
    <w:rsid w:val="0E2B1C0A"/>
    <w:rsid w:val="0E2B4B90"/>
    <w:rsid w:val="0E2B5D40"/>
    <w:rsid w:val="0E2C4843"/>
    <w:rsid w:val="0E3277F8"/>
    <w:rsid w:val="0E36234E"/>
    <w:rsid w:val="0E383B54"/>
    <w:rsid w:val="0E3C0DC3"/>
    <w:rsid w:val="0E3D175F"/>
    <w:rsid w:val="0E3E201F"/>
    <w:rsid w:val="0E400D10"/>
    <w:rsid w:val="0E4302B5"/>
    <w:rsid w:val="0E43222C"/>
    <w:rsid w:val="0E450736"/>
    <w:rsid w:val="0E471FCE"/>
    <w:rsid w:val="0E4B3C88"/>
    <w:rsid w:val="0E4C0B19"/>
    <w:rsid w:val="0E511D4B"/>
    <w:rsid w:val="0E5B438E"/>
    <w:rsid w:val="0E5E0A66"/>
    <w:rsid w:val="0E5E2076"/>
    <w:rsid w:val="0E623BDC"/>
    <w:rsid w:val="0E640688"/>
    <w:rsid w:val="0E667E77"/>
    <w:rsid w:val="0E675D05"/>
    <w:rsid w:val="0E6970F5"/>
    <w:rsid w:val="0E6D474F"/>
    <w:rsid w:val="0E6F0459"/>
    <w:rsid w:val="0E6F34F6"/>
    <w:rsid w:val="0E701185"/>
    <w:rsid w:val="0E727D9B"/>
    <w:rsid w:val="0E7576F2"/>
    <w:rsid w:val="0E7E2D1C"/>
    <w:rsid w:val="0E7F27C6"/>
    <w:rsid w:val="0E876E62"/>
    <w:rsid w:val="0E890C28"/>
    <w:rsid w:val="0E9312FD"/>
    <w:rsid w:val="0E946FF9"/>
    <w:rsid w:val="0E950B03"/>
    <w:rsid w:val="0E9A748B"/>
    <w:rsid w:val="0E9C684A"/>
    <w:rsid w:val="0E9D4394"/>
    <w:rsid w:val="0EA406BE"/>
    <w:rsid w:val="0EA43E23"/>
    <w:rsid w:val="0EA623A5"/>
    <w:rsid w:val="0EA83079"/>
    <w:rsid w:val="0EA930F2"/>
    <w:rsid w:val="0EBA6BC4"/>
    <w:rsid w:val="0EBC2CEC"/>
    <w:rsid w:val="0EC26B01"/>
    <w:rsid w:val="0EC3638B"/>
    <w:rsid w:val="0EC63E53"/>
    <w:rsid w:val="0EC708DB"/>
    <w:rsid w:val="0EC75A69"/>
    <w:rsid w:val="0ECA1443"/>
    <w:rsid w:val="0ECE69E8"/>
    <w:rsid w:val="0ECF3D06"/>
    <w:rsid w:val="0ED4067B"/>
    <w:rsid w:val="0EDA6166"/>
    <w:rsid w:val="0EDF0948"/>
    <w:rsid w:val="0EE57BCA"/>
    <w:rsid w:val="0EE77A46"/>
    <w:rsid w:val="0EE85ECD"/>
    <w:rsid w:val="0EEC6A21"/>
    <w:rsid w:val="0EED6275"/>
    <w:rsid w:val="0EEF0C4D"/>
    <w:rsid w:val="0F076533"/>
    <w:rsid w:val="0F0B3F9F"/>
    <w:rsid w:val="0F0C5B39"/>
    <w:rsid w:val="0F0D5354"/>
    <w:rsid w:val="0F0D6BA9"/>
    <w:rsid w:val="0F102BDC"/>
    <w:rsid w:val="0F120BD1"/>
    <w:rsid w:val="0F166A21"/>
    <w:rsid w:val="0F174EC5"/>
    <w:rsid w:val="0F184C93"/>
    <w:rsid w:val="0F1974AE"/>
    <w:rsid w:val="0F1C6318"/>
    <w:rsid w:val="0F1F7D6A"/>
    <w:rsid w:val="0F28260B"/>
    <w:rsid w:val="0F2B38B5"/>
    <w:rsid w:val="0F393FB2"/>
    <w:rsid w:val="0F3B24DE"/>
    <w:rsid w:val="0F402639"/>
    <w:rsid w:val="0F472355"/>
    <w:rsid w:val="0F4E506F"/>
    <w:rsid w:val="0F550AE6"/>
    <w:rsid w:val="0F561E99"/>
    <w:rsid w:val="0F5B2534"/>
    <w:rsid w:val="0F5D3E80"/>
    <w:rsid w:val="0F64595E"/>
    <w:rsid w:val="0F693E56"/>
    <w:rsid w:val="0F6D312E"/>
    <w:rsid w:val="0F6E5E0D"/>
    <w:rsid w:val="0F710BEC"/>
    <w:rsid w:val="0F7116CE"/>
    <w:rsid w:val="0F747A37"/>
    <w:rsid w:val="0F75417A"/>
    <w:rsid w:val="0F7700CF"/>
    <w:rsid w:val="0F775071"/>
    <w:rsid w:val="0F784FB5"/>
    <w:rsid w:val="0F791EB2"/>
    <w:rsid w:val="0F7F3C56"/>
    <w:rsid w:val="0F84198A"/>
    <w:rsid w:val="0F8720AF"/>
    <w:rsid w:val="0F8B7844"/>
    <w:rsid w:val="0F8C05C8"/>
    <w:rsid w:val="0F8D47EC"/>
    <w:rsid w:val="0F9B2323"/>
    <w:rsid w:val="0FA2512D"/>
    <w:rsid w:val="0FA403EB"/>
    <w:rsid w:val="0FA72EE1"/>
    <w:rsid w:val="0FA9675C"/>
    <w:rsid w:val="0FAA7295"/>
    <w:rsid w:val="0FAC4C5F"/>
    <w:rsid w:val="0FAE0089"/>
    <w:rsid w:val="0FB14FFF"/>
    <w:rsid w:val="0FB20822"/>
    <w:rsid w:val="0FB775A7"/>
    <w:rsid w:val="0FBA3D24"/>
    <w:rsid w:val="0FBA4680"/>
    <w:rsid w:val="0FC06F48"/>
    <w:rsid w:val="0FC44F82"/>
    <w:rsid w:val="0FC66DC1"/>
    <w:rsid w:val="0FCD12F0"/>
    <w:rsid w:val="0FCE052F"/>
    <w:rsid w:val="0FD31133"/>
    <w:rsid w:val="0FD52CC1"/>
    <w:rsid w:val="0FD7081A"/>
    <w:rsid w:val="0FE106A6"/>
    <w:rsid w:val="0FE5574D"/>
    <w:rsid w:val="0FEB7B8F"/>
    <w:rsid w:val="0FED14FF"/>
    <w:rsid w:val="0FEE7A23"/>
    <w:rsid w:val="0FF30BD1"/>
    <w:rsid w:val="0FF83B96"/>
    <w:rsid w:val="0FFA438E"/>
    <w:rsid w:val="0FFF2621"/>
    <w:rsid w:val="0FFF409F"/>
    <w:rsid w:val="10054E93"/>
    <w:rsid w:val="100904E6"/>
    <w:rsid w:val="100A0046"/>
    <w:rsid w:val="100A2276"/>
    <w:rsid w:val="100E1266"/>
    <w:rsid w:val="100F4BAD"/>
    <w:rsid w:val="10137D3B"/>
    <w:rsid w:val="1018240E"/>
    <w:rsid w:val="1018734F"/>
    <w:rsid w:val="101C0986"/>
    <w:rsid w:val="101C1832"/>
    <w:rsid w:val="101C7D95"/>
    <w:rsid w:val="101C7E04"/>
    <w:rsid w:val="101D6E44"/>
    <w:rsid w:val="10231983"/>
    <w:rsid w:val="10240C99"/>
    <w:rsid w:val="102E4375"/>
    <w:rsid w:val="103330D8"/>
    <w:rsid w:val="10335EAF"/>
    <w:rsid w:val="10364865"/>
    <w:rsid w:val="10391504"/>
    <w:rsid w:val="103C24C8"/>
    <w:rsid w:val="104236F6"/>
    <w:rsid w:val="10455D10"/>
    <w:rsid w:val="104864C6"/>
    <w:rsid w:val="104B16BF"/>
    <w:rsid w:val="104D03A3"/>
    <w:rsid w:val="10515562"/>
    <w:rsid w:val="10531D57"/>
    <w:rsid w:val="10534734"/>
    <w:rsid w:val="10541EEB"/>
    <w:rsid w:val="105720AE"/>
    <w:rsid w:val="105A5667"/>
    <w:rsid w:val="105E2CEF"/>
    <w:rsid w:val="10620A54"/>
    <w:rsid w:val="10626B7B"/>
    <w:rsid w:val="1065464C"/>
    <w:rsid w:val="1067220D"/>
    <w:rsid w:val="10672817"/>
    <w:rsid w:val="1069369A"/>
    <w:rsid w:val="106E12E3"/>
    <w:rsid w:val="1073739F"/>
    <w:rsid w:val="107951A4"/>
    <w:rsid w:val="107A21C7"/>
    <w:rsid w:val="107A7872"/>
    <w:rsid w:val="10811899"/>
    <w:rsid w:val="1087641A"/>
    <w:rsid w:val="108B08D4"/>
    <w:rsid w:val="108B7422"/>
    <w:rsid w:val="10993DD7"/>
    <w:rsid w:val="109A2C7B"/>
    <w:rsid w:val="109E036C"/>
    <w:rsid w:val="109E1C0A"/>
    <w:rsid w:val="10A23768"/>
    <w:rsid w:val="10A360D2"/>
    <w:rsid w:val="10A43D26"/>
    <w:rsid w:val="10A62864"/>
    <w:rsid w:val="10A66608"/>
    <w:rsid w:val="10AC0E1B"/>
    <w:rsid w:val="10AC48E0"/>
    <w:rsid w:val="10B6497E"/>
    <w:rsid w:val="10B825CA"/>
    <w:rsid w:val="10BC5FEF"/>
    <w:rsid w:val="10BD46CB"/>
    <w:rsid w:val="10BE10B6"/>
    <w:rsid w:val="10BF2405"/>
    <w:rsid w:val="10C463FB"/>
    <w:rsid w:val="10C52263"/>
    <w:rsid w:val="10C5511F"/>
    <w:rsid w:val="10CD1C07"/>
    <w:rsid w:val="10D523B0"/>
    <w:rsid w:val="10D805DB"/>
    <w:rsid w:val="10DC4280"/>
    <w:rsid w:val="10DF79C4"/>
    <w:rsid w:val="10E30C6A"/>
    <w:rsid w:val="10E468FD"/>
    <w:rsid w:val="10E675D1"/>
    <w:rsid w:val="10E677F8"/>
    <w:rsid w:val="10E767AE"/>
    <w:rsid w:val="10ED4620"/>
    <w:rsid w:val="10F250E2"/>
    <w:rsid w:val="10F65174"/>
    <w:rsid w:val="10F67F2D"/>
    <w:rsid w:val="10FA5493"/>
    <w:rsid w:val="10FB5840"/>
    <w:rsid w:val="10FC7D4E"/>
    <w:rsid w:val="11086155"/>
    <w:rsid w:val="11145C1B"/>
    <w:rsid w:val="11153089"/>
    <w:rsid w:val="111659F8"/>
    <w:rsid w:val="1118008A"/>
    <w:rsid w:val="11195849"/>
    <w:rsid w:val="111A102F"/>
    <w:rsid w:val="111E3E04"/>
    <w:rsid w:val="111F5F9D"/>
    <w:rsid w:val="111F6DFB"/>
    <w:rsid w:val="11210FCB"/>
    <w:rsid w:val="11277322"/>
    <w:rsid w:val="11277E53"/>
    <w:rsid w:val="11297520"/>
    <w:rsid w:val="112A0531"/>
    <w:rsid w:val="112C66E5"/>
    <w:rsid w:val="113204C5"/>
    <w:rsid w:val="11333D31"/>
    <w:rsid w:val="1136681A"/>
    <w:rsid w:val="11424B75"/>
    <w:rsid w:val="11432F05"/>
    <w:rsid w:val="11462B3E"/>
    <w:rsid w:val="1147317A"/>
    <w:rsid w:val="114B6F5E"/>
    <w:rsid w:val="114D7A93"/>
    <w:rsid w:val="114E4315"/>
    <w:rsid w:val="11526B01"/>
    <w:rsid w:val="1155217E"/>
    <w:rsid w:val="11566599"/>
    <w:rsid w:val="11575280"/>
    <w:rsid w:val="11585AAC"/>
    <w:rsid w:val="11596CEE"/>
    <w:rsid w:val="115B1B25"/>
    <w:rsid w:val="115F5EDD"/>
    <w:rsid w:val="115F7ADD"/>
    <w:rsid w:val="11621D46"/>
    <w:rsid w:val="1162270F"/>
    <w:rsid w:val="11626CE3"/>
    <w:rsid w:val="11632063"/>
    <w:rsid w:val="11660D99"/>
    <w:rsid w:val="1168723D"/>
    <w:rsid w:val="116A2850"/>
    <w:rsid w:val="11702AEA"/>
    <w:rsid w:val="1173151F"/>
    <w:rsid w:val="117346CC"/>
    <w:rsid w:val="1178718A"/>
    <w:rsid w:val="11792E2A"/>
    <w:rsid w:val="117B20BC"/>
    <w:rsid w:val="117C481C"/>
    <w:rsid w:val="117D3105"/>
    <w:rsid w:val="11803B0A"/>
    <w:rsid w:val="118063A3"/>
    <w:rsid w:val="1181778D"/>
    <w:rsid w:val="1182036D"/>
    <w:rsid w:val="118204E8"/>
    <w:rsid w:val="118334E3"/>
    <w:rsid w:val="11845E93"/>
    <w:rsid w:val="11847E9B"/>
    <w:rsid w:val="11864393"/>
    <w:rsid w:val="1189204B"/>
    <w:rsid w:val="118963A3"/>
    <w:rsid w:val="118A52C7"/>
    <w:rsid w:val="11985BE8"/>
    <w:rsid w:val="119F5834"/>
    <w:rsid w:val="11A110D7"/>
    <w:rsid w:val="11A45D6A"/>
    <w:rsid w:val="11A55AC2"/>
    <w:rsid w:val="11AA4763"/>
    <w:rsid w:val="11B104F4"/>
    <w:rsid w:val="11C22466"/>
    <w:rsid w:val="11CC5A16"/>
    <w:rsid w:val="11CD1876"/>
    <w:rsid w:val="11D303E0"/>
    <w:rsid w:val="11D4241A"/>
    <w:rsid w:val="11E22E86"/>
    <w:rsid w:val="11E66F48"/>
    <w:rsid w:val="11F01925"/>
    <w:rsid w:val="11F376B8"/>
    <w:rsid w:val="11F67B4D"/>
    <w:rsid w:val="11F748D7"/>
    <w:rsid w:val="11FE1FA9"/>
    <w:rsid w:val="11FE3307"/>
    <w:rsid w:val="12014600"/>
    <w:rsid w:val="12024F1D"/>
    <w:rsid w:val="12044754"/>
    <w:rsid w:val="12063E22"/>
    <w:rsid w:val="120D16AD"/>
    <w:rsid w:val="120E786F"/>
    <w:rsid w:val="12137F38"/>
    <w:rsid w:val="12197197"/>
    <w:rsid w:val="121F6623"/>
    <w:rsid w:val="1222662B"/>
    <w:rsid w:val="12285BAD"/>
    <w:rsid w:val="122B21EE"/>
    <w:rsid w:val="12320D00"/>
    <w:rsid w:val="123441AD"/>
    <w:rsid w:val="12364C6B"/>
    <w:rsid w:val="12383998"/>
    <w:rsid w:val="123966EF"/>
    <w:rsid w:val="123B416D"/>
    <w:rsid w:val="123F354E"/>
    <w:rsid w:val="124057CB"/>
    <w:rsid w:val="12431FAA"/>
    <w:rsid w:val="124405DB"/>
    <w:rsid w:val="12472558"/>
    <w:rsid w:val="124C5163"/>
    <w:rsid w:val="124D2C65"/>
    <w:rsid w:val="124E30BA"/>
    <w:rsid w:val="12555555"/>
    <w:rsid w:val="12585937"/>
    <w:rsid w:val="12591BD4"/>
    <w:rsid w:val="125B35B1"/>
    <w:rsid w:val="125C252F"/>
    <w:rsid w:val="126962AA"/>
    <w:rsid w:val="126F07D2"/>
    <w:rsid w:val="12705082"/>
    <w:rsid w:val="127C0D1E"/>
    <w:rsid w:val="127D0D96"/>
    <w:rsid w:val="12801BB4"/>
    <w:rsid w:val="1280619D"/>
    <w:rsid w:val="1282785F"/>
    <w:rsid w:val="128661BF"/>
    <w:rsid w:val="12951918"/>
    <w:rsid w:val="12970686"/>
    <w:rsid w:val="129A1645"/>
    <w:rsid w:val="129C79CD"/>
    <w:rsid w:val="129F1813"/>
    <w:rsid w:val="12A45785"/>
    <w:rsid w:val="12A534F0"/>
    <w:rsid w:val="12A77577"/>
    <w:rsid w:val="12AD5499"/>
    <w:rsid w:val="12AF183B"/>
    <w:rsid w:val="12AF49FB"/>
    <w:rsid w:val="12B16D04"/>
    <w:rsid w:val="12B3600D"/>
    <w:rsid w:val="12B73017"/>
    <w:rsid w:val="12B97F8D"/>
    <w:rsid w:val="12BA1931"/>
    <w:rsid w:val="12BC61C6"/>
    <w:rsid w:val="12BE0F40"/>
    <w:rsid w:val="12C364FA"/>
    <w:rsid w:val="12C5128C"/>
    <w:rsid w:val="12C57284"/>
    <w:rsid w:val="12C64289"/>
    <w:rsid w:val="12CE6F92"/>
    <w:rsid w:val="12DF75E1"/>
    <w:rsid w:val="12E24CDA"/>
    <w:rsid w:val="12E87CB4"/>
    <w:rsid w:val="12E97479"/>
    <w:rsid w:val="12EB42AA"/>
    <w:rsid w:val="12EC1512"/>
    <w:rsid w:val="12EC49CD"/>
    <w:rsid w:val="12F25750"/>
    <w:rsid w:val="12F92278"/>
    <w:rsid w:val="12FC030C"/>
    <w:rsid w:val="12FC2B78"/>
    <w:rsid w:val="13043380"/>
    <w:rsid w:val="13166972"/>
    <w:rsid w:val="131849F5"/>
    <w:rsid w:val="131D175C"/>
    <w:rsid w:val="1323132B"/>
    <w:rsid w:val="1326357F"/>
    <w:rsid w:val="132711CC"/>
    <w:rsid w:val="132E595F"/>
    <w:rsid w:val="133015FF"/>
    <w:rsid w:val="13353542"/>
    <w:rsid w:val="1336221E"/>
    <w:rsid w:val="13365400"/>
    <w:rsid w:val="133665BD"/>
    <w:rsid w:val="1337522B"/>
    <w:rsid w:val="133916EB"/>
    <w:rsid w:val="1339716E"/>
    <w:rsid w:val="133B115F"/>
    <w:rsid w:val="133E1B46"/>
    <w:rsid w:val="1340794B"/>
    <w:rsid w:val="134647ED"/>
    <w:rsid w:val="134F2E80"/>
    <w:rsid w:val="135A751E"/>
    <w:rsid w:val="135D51F3"/>
    <w:rsid w:val="136844F9"/>
    <w:rsid w:val="136E3F72"/>
    <w:rsid w:val="13703448"/>
    <w:rsid w:val="137101CF"/>
    <w:rsid w:val="13712738"/>
    <w:rsid w:val="13791AE4"/>
    <w:rsid w:val="137C37FA"/>
    <w:rsid w:val="13820E63"/>
    <w:rsid w:val="13834DEC"/>
    <w:rsid w:val="1383524C"/>
    <w:rsid w:val="138528E6"/>
    <w:rsid w:val="13870E5A"/>
    <w:rsid w:val="13873E48"/>
    <w:rsid w:val="13883519"/>
    <w:rsid w:val="138953AE"/>
    <w:rsid w:val="13926D7B"/>
    <w:rsid w:val="13936EF5"/>
    <w:rsid w:val="13A54680"/>
    <w:rsid w:val="13A54A41"/>
    <w:rsid w:val="13AD5537"/>
    <w:rsid w:val="13B0734B"/>
    <w:rsid w:val="13B660AC"/>
    <w:rsid w:val="13BC39DB"/>
    <w:rsid w:val="13BE1297"/>
    <w:rsid w:val="13C979A0"/>
    <w:rsid w:val="13CA633A"/>
    <w:rsid w:val="13CE6A6C"/>
    <w:rsid w:val="13D050E6"/>
    <w:rsid w:val="13D1738A"/>
    <w:rsid w:val="13D81D93"/>
    <w:rsid w:val="13D876B5"/>
    <w:rsid w:val="13DB4B74"/>
    <w:rsid w:val="13DE11C5"/>
    <w:rsid w:val="13E04AA9"/>
    <w:rsid w:val="13E1056F"/>
    <w:rsid w:val="13E13E96"/>
    <w:rsid w:val="13E358DF"/>
    <w:rsid w:val="13E6512C"/>
    <w:rsid w:val="13E9643C"/>
    <w:rsid w:val="13EF0923"/>
    <w:rsid w:val="13F56003"/>
    <w:rsid w:val="13F61BD3"/>
    <w:rsid w:val="13F80163"/>
    <w:rsid w:val="14035E7C"/>
    <w:rsid w:val="140826A0"/>
    <w:rsid w:val="14145C45"/>
    <w:rsid w:val="141728A4"/>
    <w:rsid w:val="14222731"/>
    <w:rsid w:val="14270B70"/>
    <w:rsid w:val="142A0CCC"/>
    <w:rsid w:val="142D56C5"/>
    <w:rsid w:val="1434689B"/>
    <w:rsid w:val="14350922"/>
    <w:rsid w:val="143A23DB"/>
    <w:rsid w:val="14450C32"/>
    <w:rsid w:val="14460FC4"/>
    <w:rsid w:val="14484DF6"/>
    <w:rsid w:val="14490028"/>
    <w:rsid w:val="144D3C37"/>
    <w:rsid w:val="14502578"/>
    <w:rsid w:val="145E64CC"/>
    <w:rsid w:val="14717944"/>
    <w:rsid w:val="14751457"/>
    <w:rsid w:val="147B5676"/>
    <w:rsid w:val="14815765"/>
    <w:rsid w:val="14861DC0"/>
    <w:rsid w:val="14873723"/>
    <w:rsid w:val="148A38CF"/>
    <w:rsid w:val="14995BA2"/>
    <w:rsid w:val="149A16C1"/>
    <w:rsid w:val="149B1658"/>
    <w:rsid w:val="149B30F8"/>
    <w:rsid w:val="149C0FD3"/>
    <w:rsid w:val="149F00B3"/>
    <w:rsid w:val="149F4143"/>
    <w:rsid w:val="149F5522"/>
    <w:rsid w:val="14B76F95"/>
    <w:rsid w:val="14B858E0"/>
    <w:rsid w:val="14BC6718"/>
    <w:rsid w:val="14C245EA"/>
    <w:rsid w:val="14C2599D"/>
    <w:rsid w:val="14C72DE6"/>
    <w:rsid w:val="14CC67C7"/>
    <w:rsid w:val="14CE39FF"/>
    <w:rsid w:val="14D07D1D"/>
    <w:rsid w:val="14D41E07"/>
    <w:rsid w:val="14D47796"/>
    <w:rsid w:val="14D5740D"/>
    <w:rsid w:val="14DA57F1"/>
    <w:rsid w:val="14DD0FF7"/>
    <w:rsid w:val="14DE20E1"/>
    <w:rsid w:val="14E35B08"/>
    <w:rsid w:val="14F84273"/>
    <w:rsid w:val="14FB3649"/>
    <w:rsid w:val="15016E79"/>
    <w:rsid w:val="150516D9"/>
    <w:rsid w:val="150973B6"/>
    <w:rsid w:val="1510257A"/>
    <w:rsid w:val="1511212E"/>
    <w:rsid w:val="15122F15"/>
    <w:rsid w:val="151351C8"/>
    <w:rsid w:val="15147934"/>
    <w:rsid w:val="15155054"/>
    <w:rsid w:val="151767C5"/>
    <w:rsid w:val="151C55B3"/>
    <w:rsid w:val="151D6535"/>
    <w:rsid w:val="15261EDD"/>
    <w:rsid w:val="152B164C"/>
    <w:rsid w:val="15374117"/>
    <w:rsid w:val="15387444"/>
    <w:rsid w:val="15394638"/>
    <w:rsid w:val="153B7917"/>
    <w:rsid w:val="153D7728"/>
    <w:rsid w:val="154222ED"/>
    <w:rsid w:val="154319A3"/>
    <w:rsid w:val="1543775B"/>
    <w:rsid w:val="1546098D"/>
    <w:rsid w:val="154A4852"/>
    <w:rsid w:val="154B142E"/>
    <w:rsid w:val="154E6C2B"/>
    <w:rsid w:val="155005AD"/>
    <w:rsid w:val="15535AC9"/>
    <w:rsid w:val="15581113"/>
    <w:rsid w:val="15597D87"/>
    <w:rsid w:val="155A4148"/>
    <w:rsid w:val="155B74FD"/>
    <w:rsid w:val="15664266"/>
    <w:rsid w:val="15670BA0"/>
    <w:rsid w:val="15673BEF"/>
    <w:rsid w:val="15690DFF"/>
    <w:rsid w:val="1571316E"/>
    <w:rsid w:val="15732C9D"/>
    <w:rsid w:val="15780D39"/>
    <w:rsid w:val="157B4890"/>
    <w:rsid w:val="15884F28"/>
    <w:rsid w:val="158857B2"/>
    <w:rsid w:val="158C2BC5"/>
    <w:rsid w:val="158C760D"/>
    <w:rsid w:val="158E0C0E"/>
    <w:rsid w:val="15906CC4"/>
    <w:rsid w:val="15975310"/>
    <w:rsid w:val="15982362"/>
    <w:rsid w:val="15992374"/>
    <w:rsid w:val="159960E6"/>
    <w:rsid w:val="159D6C91"/>
    <w:rsid w:val="15A40E5C"/>
    <w:rsid w:val="15A9192A"/>
    <w:rsid w:val="15AA1B53"/>
    <w:rsid w:val="15AB5957"/>
    <w:rsid w:val="15AE78E3"/>
    <w:rsid w:val="15BA5439"/>
    <w:rsid w:val="15BD04EE"/>
    <w:rsid w:val="15C02DDF"/>
    <w:rsid w:val="15CA1722"/>
    <w:rsid w:val="15CB1AD7"/>
    <w:rsid w:val="15CF168C"/>
    <w:rsid w:val="15D97763"/>
    <w:rsid w:val="15DB482A"/>
    <w:rsid w:val="15DD193C"/>
    <w:rsid w:val="15DE1B5A"/>
    <w:rsid w:val="15DE2644"/>
    <w:rsid w:val="15DE290F"/>
    <w:rsid w:val="15DE3F67"/>
    <w:rsid w:val="15DF3827"/>
    <w:rsid w:val="15E129DD"/>
    <w:rsid w:val="15E62C35"/>
    <w:rsid w:val="15E822EA"/>
    <w:rsid w:val="15E96769"/>
    <w:rsid w:val="15EA5D7A"/>
    <w:rsid w:val="15EF1527"/>
    <w:rsid w:val="15F41D1D"/>
    <w:rsid w:val="15F70A0E"/>
    <w:rsid w:val="15F72F21"/>
    <w:rsid w:val="15FE3552"/>
    <w:rsid w:val="15FF2FA3"/>
    <w:rsid w:val="15FF3D3A"/>
    <w:rsid w:val="16037A24"/>
    <w:rsid w:val="160844A5"/>
    <w:rsid w:val="160921D9"/>
    <w:rsid w:val="160B0605"/>
    <w:rsid w:val="160B6B83"/>
    <w:rsid w:val="1610225B"/>
    <w:rsid w:val="16131D27"/>
    <w:rsid w:val="16147EB5"/>
    <w:rsid w:val="16243AC4"/>
    <w:rsid w:val="16246E87"/>
    <w:rsid w:val="162C044B"/>
    <w:rsid w:val="162D3660"/>
    <w:rsid w:val="16340FF4"/>
    <w:rsid w:val="16376E28"/>
    <w:rsid w:val="16386CAA"/>
    <w:rsid w:val="16446AB7"/>
    <w:rsid w:val="164B1B20"/>
    <w:rsid w:val="164B6428"/>
    <w:rsid w:val="164D2637"/>
    <w:rsid w:val="164F41E2"/>
    <w:rsid w:val="165065A9"/>
    <w:rsid w:val="1651033E"/>
    <w:rsid w:val="16532576"/>
    <w:rsid w:val="1654025E"/>
    <w:rsid w:val="16572A10"/>
    <w:rsid w:val="165B5429"/>
    <w:rsid w:val="165C787A"/>
    <w:rsid w:val="16627C8A"/>
    <w:rsid w:val="16627F14"/>
    <w:rsid w:val="166D6A36"/>
    <w:rsid w:val="166E0644"/>
    <w:rsid w:val="166F7946"/>
    <w:rsid w:val="16702E8A"/>
    <w:rsid w:val="167043DE"/>
    <w:rsid w:val="167A1A3F"/>
    <w:rsid w:val="167A42C9"/>
    <w:rsid w:val="16846A9D"/>
    <w:rsid w:val="16852E14"/>
    <w:rsid w:val="168C045A"/>
    <w:rsid w:val="168C453B"/>
    <w:rsid w:val="168D6A17"/>
    <w:rsid w:val="168E2693"/>
    <w:rsid w:val="168E5458"/>
    <w:rsid w:val="16910259"/>
    <w:rsid w:val="1696130E"/>
    <w:rsid w:val="169A085D"/>
    <w:rsid w:val="169B4EDB"/>
    <w:rsid w:val="16A91EF8"/>
    <w:rsid w:val="16AB238C"/>
    <w:rsid w:val="16AF215B"/>
    <w:rsid w:val="16AF2255"/>
    <w:rsid w:val="16AF532F"/>
    <w:rsid w:val="16B64D76"/>
    <w:rsid w:val="16B66AB2"/>
    <w:rsid w:val="16B97005"/>
    <w:rsid w:val="16BE061F"/>
    <w:rsid w:val="16C33C5D"/>
    <w:rsid w:val="16C85686"/>
    <w:rsid w:val="16CA423C"/>
    <w:rsid w:val="16D17061"/>
    <w:rsid w:val="16D17932"/>
    <w:rsid w:val="16D22658"/>
    <w:rsid w:val="16D34A90"/>
    <w:rsid w:val="16D34F98"/>
    <w:rsid w:val="16D72F09"/>
    <w:rsid w:val="16DD5689"/>
    <w:rsid w:val="16E27815"/>
    <w:rsid w:val="16E31697"/>
    <w:rsid w:val="16E4081B"/>
    <w:rsid w:val="16E90E54"/>
    <w:rsid w:val="16EB7922"/>
    <w:rsid w:val="16EC12DD"/>
    <w:rsid w:val="16F3408C"/>
    <w:rsid w:val="16F8281A"/>
    <w:rsid w:val="17013AE2"/>
    <w:rsid w:val="1705204F"/>
    <w:rsid w:val="17077D94"/>
    <w:rsid w:val="170B2A96"/>
    <w:rsid w:val="170C2EA3"/>
    <w:rsid w:val="17104613"/>
    <w:rsid w:val="1710605E"/>
    <w:rsid w:val="17106A60"/>
    <w:rsid w:val="17145A5B"/>
    <w:rsid w:val="171B0366"/>
    <w:rsid w:val="171C4976"/>
    <w:rsid w:val="171E050F"/>
    <w:rsid w:val="171E6793"/>
    <w:rsid w:val="17217C64"/>
    <w:rsid w:val="17242CDF"/>
    <w:rsid w:val="172C10A6"/>
    <w:rsid w:val="172E09FF"/>
    <w:rsid w:val="17312884"/>
    <w:rsid w:val="17343B30"/>
    <w:rsid w:val="173713D0"/>
    <w:rsid w:val="17381971"/>
    <w:rsid w:val="17395AAA"/>
    <w:rsid w:val="173D7462"/>
    <w:rsid w:val="173E4717"/>
    <w:rsid w:val="174039BE"/>
    <w:rsid w:val="1741569F"/>
    <w:rsid w:val="17423175"/>
    <w:rsid w:val="1742790A"/>
    <w:rsid w:val="174316D8"/>
    <w:rsid w:val="17434691"/>
    <w:rsid w:val="17493068"/>
    <w:rsid w:val="174A50F9"/>
    <w:rsid w:val="174D7F22"/>
    <w:rsid w:val="174E2F43"/>
    <w:rsid w:val="17514A69"/>
    <w:rsid w:val="17542220"/>
    <w:rsid w:val="1758716B"/>
    <w:rsid w:val="175B0AE2"/>
    <w:rsid w:val="175B3491"/>
    <w:rsid w:val="175E014A"/>
    <w:rsid w:val="175F3E15"/>
    <w:rsid w:val="17694CA7"/>
    <w:rsid w:val="176F1AAA"/>
    <w:rsid w:val="1772415E"/>
    <w:rsid w:val="1774547D"/>
    <w:rsid w:val="17760D1D"/>
    <w:rsid w:val="17835D6F"/>
    <w:rsid w:val="178435F1"/>
    <w:rsid w:val="178536BD"/>
    <w:rsid w:val="17885FB1"/>
    <w:rsid w:val="178E166E"/>
    <w:rsid w:val="178E6263"/>
    <w:rsid w:val="178E6C57"/>
    <w:rsid w:val="178F7814"/>
    <w:rsid w:val="17921A4A"/>
    <w:rsid w:val="179278A1"/>
    <w:rsid w:val="1797355A"/>
    <w:rsid w:val="17A743C9"/>
    <w:rsid w:val="17AA28EF"/>
    <w:rsid w:val="17B10E91"/>
    <w:rsid w:val="17B50682"/>
    <w:rsid w:val="17B519E6"/>
    <w:rsid w:val="17B556C0"/>
    <w:rsid w:val="17BB5CD1"/>
    <w:rsid w:val="17BF4266"/>
    <w:rsid w:val="17BF434C"/>
    <w:rsid w:val="17C30F44"/>
    <w:rsid w:val="17CA086A"/>
    <w:rsid w:val="17CA5093"/>
    <w:rsid w:val="17CB1CC1"/>
    <w:rsid w:val="17DF496F"/>
    <w:rsid w:val="17E02ED4"/>
    <w:rsid w:val="17E12F85"/>
    <w:rsid w:val="17E94B3B"/>
    <w:rsid w:val="17EE2EAA"/>
    <w:rsid w:val="17EF20CF"/>
    <w:rsid w:val="17F27568"/>
    <w:rsid w:val="17F8125E"/>
    <w:rsid w:val="17FD0DC6"/>
    <w:rsid w:val="17FD4E61"/>
    <w:rsid w:val="18010C7E"/>
    <w:rsid w:val="18012581"/>
    <w:rsid w:val="18066041"/>
    <w:rsid w:val="18067EB8"/>
    <w:rsid w:val="18083FB7"/>
    <w:rsid w:val="180B2911"/>
    <w:rsid w:val="180F10A3"/>
    <w:rsid w:val="18147E99"/>
    <w:rsid w:val="18153253"/>
    <w:rsid w:val="181A265A"/>
    <w:rsid w:val="181B1464"/>
    <w:rsid w:val="181C34E8"/>
    <w:rsid w:val="18261F73"/>
    <w:rsid w:val="183056E4"/>
    <w:rsid w:val="183159A9"/>
    <w:rsid w:val="18364A10"/>
    <w:rsid w:val="18377638"/>
    <w:rsid w:val="1838393C"/>
    <w:rsid w:val="183A12DF"/>
    <w:rsid w:val="183D60D4"/>
    <w:rsid w:val="18416677"/>
    <w:rsid w:val="18441968"/>
    <w:rsid w:val="1845517C"/>
    <w:rsid w:val="184A4207"/>
    <w:rsid w:val="184B4EC8"/>
    <w:rsid w:val="184C2F1C"/>
    <w:rsid w:val="1853077E"/>
    <w:rsid w:val="185456DC"/>
    <w:rsid w:val="185A76C1"/>
    <w:rsid w:val="185B4DED"/>
    <w:rsid w:val="185D4F4F"/>
    <w:rsid w:val="1862183B"/>
    <w:rsid w:val="18634E28"/>
    <w:rsid w:val="18691198"/>
    <w:rsid w:val="186A1165"/>
    <w:rsid w:val="186B63F5"/>
    <w:rsid w:val="186D5596"/>
    <w:rsid w:val="18715E0A"/>
    <w:rsid w:val="1875064D"/>
    <w:rsid w:val="187B03C0"/>
    <w:rsid w:val="187E0FF6"/>
    <w:rsid w:val="187E2BDB"/>
    <w:rsid w:val="187E637B"/>
    <w:rsid w:val="18820AD8"/>
    <w:rsid w:val="188449CB"/>
    <w:rsid w:val="18871F18"/>
    <w:rsid w:val="18874DEE"/>
    <w:rsid w:val="18894F7A"/>
    <w:rsid w:val="18897289"/>
    <w:rsid w:val="188B0548"/>
    <w:rsid w:val="188B7807"/>
    <w:rsid w:val="188E52B0"/>
    <w:rsid w:val="18974F2F"/>
    <w:rsid w:val="189C54F4"/>
    <w:rsid w:val="189C6AAA"/>
    <w:rsid w:val="189E000B"/>
    <w:rsid w:val="189F12CE"/>
    <w:rsid w:val="189F1804"/>
    <w:rsid w:val="18B77F6D"/>
    <w:rsid w:val="18C10701"/>
    <w:rsid w:val="18C115D4"/>
    <w:rsid w:val="18C7478C"/>
    <w:rsid w:val="18C84ADD"/>
    <w:rsid w:val="18C8790E"/>
    <w:rsid w:val="18D31B15"/>
    <w:rsid w:val="18D43FA0"/>
    <w:rsid w:val="18D51AAB"/>
    <w:rsid w:val="18D55A41"/>
    <w:rsid w:val="18D824AB"/>
    <w:rsid w:val="18D847A5"/>
    <w:rsid w:val="18DC6E85"/>
    <w:rsid w:val="18E0672F"/>
    <w:rsid w:val="18E13622"/>
    <w:rsid w:val="18E17E05"/>
    <w:rsid w:val="18E43D5F"/>
    <w:rsid w:val="18E519B8"/>
    <w:rsid w:val="18E667FE"/>
    <w:rsid w:val="18EC2E49"/>
    <w:rsid w:val="18ED2570"/>
    <w:rsid w:val="18ED2E4C"/>
    <w:rsid w:val="18F27C04"/>
    <w:rsid w:val="18F47C3A"/>
    <w:rsid w:val="18F62932"/>
    <w:rsid w:val="18FC7B99"/>
    <w:rsid w:val="19031D93"/>
    <w:rsid w:val="19094EDC"/>
    <w:rsid w:val="190952CF"/>
    <w:rsid w:val="190E0807"/>
    <w:rsid w:val="190E5E6B"/>
    <w:rsid w:val="19104D85"/>
    <w:rsid w:val="191224EB"/>
    <w:rsid w:val="19162B66"/>
    <w:rsid w:val="19174519"/>
    <w:rsid w:val="191B4399"/>
    <w:rsid w:val="19204BAC"/>
    <w:rsid w:val="192671FF"/>
    <w:rsid w:val="19271C4E"/>
    <w:rsid w:val="192C71B3"/>
    <w:rsid w:val="19331D86"/>
    <w:rsid w:val="19340802"/>
    <w:rsid w:val="193743D5"/>
    <w:rsid w:val="1938415F"/>
    <w:rsid w:val="19387E04"/>
    <w:rsid w:val="193A084F"/>
    <w:rsid w:val="1942362B"/>
    <w:rsid w:val="19445837"/>
    <w:rsid w:val="19473E5D"/>
    <w:rsid w:val="194B1ECD"/>
    <w:rsid w:val="194D1EA9"/>
    <w:rsid w:val="195334C3"/>
    <w:rsid w:val="19544AE3"/>
    <w:rsid w:val="19591645"/>
    <w:rsid w:val="195C28F9"/>
    <w:rsid w:val="195C4649"/>
    <w:rsid w:val="195F5BAB"/>
    <w:rsid w:val="196020EC"/>
    <w:rsid w:val="19602FAD"/>
    <w:rsid w:val="197000B8"/>
    <w:rsid w:val="1971580E"/>
    <w:rsid w:val="197167CD"/>
    <w:rsid w:val="197261D6"/>
    <w:rsid w:val="19741222"/>
    <w:rsid w:val="197A3A3B"/>
    <w:rsid w:val="197D71C7"/>
    <w:rsid w:val="19822A9F"/>
    <w:rsid w:val="1984676E"/>
    <w:rsid w:val="19886EA9"/>
    <w:rsid w:val="198D1DFA"/>
    <w:rsid w:val="198E5399"/>
    <w:rsid w:val="199160CF"/>
    <w:rsid w:val="19924E8A"/>
    <w:rsid w:val="199307CC"/>
    <w:rsid w:val="199535B7"/>
    <w:rsid w:val="199A2054"/>
    <w:rsid w:val="199D685E"/>
    <w:rsid w:val="199E1370"/>
    <w:rsid w:val="19A15B69"/>
    <w:rsid w:val="19A44C4A"/>
    <w:rsid w:val="19B07306"/>
    <w:rsid w:val="19B149E8"/>
    <w:rsid w:val="19BA710F"/>
    <w:rsid w:val="19C02B10"/>
    <w:rsid w:val="19C43FD8"/>
    <w:rsid w:val="19C868D6"/>
    <w:rsid w:val="19C92681"/>
    <w:rsid w:val="19C96C46"/>
    <w:rsid w:val="19D0364C"/>
    <w:rsid w:val="19D379B8"/>
    <w:rsid w:val="19D505E6"/>
    <w:rsid w:val="19D8743C"/>
    <w:rsid w:val="19DD41AA"/>
    <w:rsid w:val="19F07B21"/>
    <w:rsid w:val="19F2017C"/>
    <w:rsid w:val="19F969DA"/>
    <w:rsid w:val="19FA733C"/>
    <w:rsid w:val="19FB3722"/>
    <w:rsid w:val="19FF3782"/>
    <w:rsid w:val="19FF5EAD"/>
    <w:rsid w:val="1A051B3B"/>
    <w:rsid w:val="1A065896"/>
    <w:rsid w:val="1A0702B3"/>
    <w:rsid w:val="1A086C20"/>
    <w:rsid w:val="1A0D3D17"/>
    <w:rsid w:val="1A101119"/>
    <w:rsid w:val="1A124390"/>
    <w:rsid w:val="1A134DAC"/>
    <w:rsid w:val="1A1715BF"/>
    <w:rsid w:val="1A175305"/>
    <w:rsid w:val="1A201970"/>
    <w:rsid w:val="1A20795C"/>
    <w:rsid w:val="1A262600"/>
    <w:rsid w:val="1A293A7B"/>
    <w:rsid w:val="1A2E2E01"/>
    <w:rsid w:val="1A3D4B62"/>
    <w:rsid w:val="1A4B27E9"/>
    <w:rsid w:val="1A4E4277"/>
    <w:rsid w:val="1A4E5555"/>
    <w:rsid w:val="1A592FE3"/>
    <w:rsid w:val="1A5C6293"/>
    <w:rsid w:val="1A621DF7"/>
    <w:rsid w:val="1A6242A0"/>
    <w:rsid w:val="1A651FB0"/>
    <w:rsid w:val="1A662E60"/>
    <w:rsid w:val="1A6851A2"/>
    <w:rsid w:val="1A696B52"/>
    <w:rsid w:val="1A6A65F8"/>
    <w:rsid w:val="1A717716"/>
    <w:rsid w:val="1A7263CF"/>
    <w:rsid w:val="1A742071"/>
    <w:rsid w:val="1A7538A8"/>
    <w:rsid w:val="1A763D97"/>
    <w:rsid w:val="1A7A2CE2"/>
    <w:rsid w:val="1A7F7D19"/>
    <w:rsid w:val="1A820933"/>
    <w:rsid w:val="1A8A2876"/>
    <w:rsid w:val="1A8C691D"/>
    <w:rsid w:val="1A980B50"/>
    <w:rsid w:val="1A9944DC"/>
    <w:rsid w:val="1A9B7DD8"/>
    <w:rsid w:val="1A9D28AC"/>
    <w:rsid w:val="1A9F3D91"/>
    <w:rsid w:val="1AA118E0"/>
    <w:rsid w:val="1AA40A1A"/>
    <w:rsid w:val="1AA53432"/>
    <w:rsid w:val="1AAB4173"/>
    <w:rsid w:val="1AAE447F"/>
    <w:rsid w:val="1AB05604"/>
    <w:rsid w:val="1AB47569"/>
    <w:rsid w:val="1AB8700A"/>
    <w:rsid w:val="1AC26246"/>
    <w:rsid w:val="1AC92E9A"/>
    <w:rsid w:val="1ACA422F"/>
    <w:rsid w:val="1AD33BF1"/>
    <w:rsid w:val="1AD456FE"/>
    <w:rsid w:val="1AD954D8"/>
    <w:rsid w:val="1AE0703D"/>
    <w:rsid w:val="1AE45BF4"/>
    <w:rsid w:val="1AE72C55"/>
    <w:rsid w:val="1AE96DC2"/>
    <w:rsid w:val="1AF265AF"/>
    <w:rsid w:val="1AF5083F"/>
    <w:rsid w:val="1AF77DDD"/>
    <w:rsid w:val="1B034C15"/>
    <w:rsid w:val="1B0476FF"/>
    <w:rsid w:val="1B074497"/>
    <w:rsid w:val="1B080EDF"/>
    <w:rsid w:val="1B083691"/>
    <w:rsid w:val="1B0B3DE6"/>
    <w:rsid w:val="1B0C6026"/>
    <w:rsid w:val="1B0D393D"/>
    <w:rsid w:val="1B113530"/>
    <w:rsid w:val="1B1754E4"/>
    <w:rsid w:val="1B1C538E"/>
    <w:rsid w:val="1B222D3B"/>
    <w:rsid w:val="1B250A6F"/>
    <w:rsid w:val="1B253F31"/>
    <w:rsid w:val="1B263D03"/>
    <w:rsid w:val="1B267B74"/>
    <w:rsid w:val="1B2A7E65"/>
    <w:rsid w:val="1B313D99"/>
    <w:rsid w:val="1B3828E8"/>
    <w:rsid w:val="1B3B6826"/>
    <w:rsid w:val="1B407FF7"/>
    <w:rsid w:val="1B410951"/>
    <w:rsid w:val="1B426C5B"/>
    <w:rsid w:val="1B4D403D"/>
    <w:rsid w:val="1B4E2C0F"/>
    <w:rsid w:val="1B5152AB"/>
    <w:rsid w:val="1B542BD0"/>
    <w:rsid w:val="1B5840DB"/>
    <w:rsid w:val="1B594436"/>
    <w:rsid w:val="1B5D14B7"/>
    <w:rsid w:val="1B5D5DC5"/>
    <w:rsid w:val="1B620E89"/>
    <w:rsid w:val="1B643543"/>
    <w:rsid w:val="1B6445D2"/>
    <w:rsid w:val="1B650AE3"/>
    <w:rsid w:val="1B687CCC"/>
    <w:rsid w:val="1B6A71E7"/>
    <w:rsid w:val="1B6F3B43"/>
    <w:rsid w:val="1B7B3D70"/>
    <w:rsid w:val="1B7C37FF"/>
    <w:rsid w:val="1B7D01D8"/>
    <w:rsid w:val="1B7F0083"/>
    <w:rsid w:val="1B807090"/>
    <w:rsid w:val="1B86587D"/>
    <w:rsid w:val="1B904E57"/>
    <w:rsid w:val="1B911129"/>
    <w:rsid w:val="1B933295"/>
    <w:rsid w:val="1B9477DB"/>
    <w:rsid w:val="1B972C67"/>
    <w:rsid w:val="1B99284E"/>
    <w:rsid w:val="1BA0339A"/>
    <w:rsid w:val="1BA12AFE"/>
    <w:rsid w:val="1BA17085"/>
    <w:rsid w:val="1BA51E6E"/>
    <w:rsid w:val="1BA52887"/>
    <w:rsid w:val="1BA8710E"/>
    <w:rsid w:val="1BAA1C95"/>
    <w:rsid w:val="1BAB4663"/>
    <w:rsid w:val="1BB627D7"/>
    <w:rsid w:val="1BC0232C"/>
    <w:rsid w:val="1BCA186C"/>
    <w:rsid w:val="1BCA7302"/>
    <w:rsid w:val="1BCB3C32"/>
    <w:rsid w:val="1BCC0E6E"/>
    <w:rsid w:val="1BD14F0E"/>
    <w:rsid w:val="1BD66A6E"/>
    <w:rsid w:val="1BDA1DF0"/>
    <w:rsid w:val="1BE470AA"/>
    <w:rsid w:val="1BEA723A"/>
    <w:rsid w:val="1BED5AB1"/>
    <w:rsid w:val="1BEE3EC9"/>
    <w:rsid w:val="1BEF1636"/>
    <w:rsid w:val="1BEF3913"/>
    <w:rsid w:val="1BF31569"/>
    <w:rsid w:val="1BF62D13"/>
    <w:rsid w:val="1BFE2CE6"/>
    <w:rsid w:val="1C0557A6"/>
    <w:rsid w:val="1C064E8A"/>
    <w:rsid w:val="1C065371"/>
    <w:rsid w:val="1C067B2D"/>
    <w:rsid w:val="1C077632"/>
    <w:rsid w:val="1C090723"/>
    <w:rsid w:val="1C16078D"/>
    <w:rsid w:val="1C182D6F"/>
    <w:rsid w:val="1C1B7168"/>
    <w:rsid w:val="1C1C4F1A"/>
    <w:rsid w:val="1C1E665C"/>
    <w:rsid w:val="1C23413F"/>
    <w:rsid w:val="1C2541DE"/>
    <w:rsid w:val="1C2A5889"/>
    <w:rsid w:val="1C3010A9"/>
    <w:rsid w:val="1C305AD8"/>
    <w:rsid w:val="1C34088F"/>
    <w:rsid w:val="1C3429EC"/>
    <w:rsid w:val="1C3614C0"/>
    <w:rsid w:val="1C3B0D22"/>
    <w:rsid w:val="1C3E0F99"/>
    <w:rsid w:val="1C423517"/>
    <w:rsid w:val="1C461F97"/>
    <w:rsid w:val="1C463817"/>
    <w:rsid w:val="1C4742D1"/>
    <w:rsid w:val="1C476383"/>
    <w:rsid w:val="1C49518B"/>
    <w:rsid w:val="1C4B160E"/>
    <w:rsid w:val="1C4D68EF"/>
    <w:rsid w:val="1C524FC8"/>
    <w:rsid w:val="1C53427E"/>
    <w:rsid w:val="1C554F16"/>
    <w:rsid w:val="1C5C25C4"/>
    <w:rsid w:val="1C5E7E58"/>
    <w:rsid w:val="1C5F19D6"/>
    <w:rsid w:val="1C6A4D3E"/>
    <w:rsid w:val="1C6B456B"/>
    <w:rsid w:val="1C6D1F4A"/>
    <w:rsid w:val="1C6D2C68"/>
    <w:rsid w:val="1C786FBE"/>
    <w:rsid w:val="1C7A13FF"/>
    <w:rsid w:val="1C7D63CF"/>
    <w:rsid w:val="1C85061E"/>
    <w:rsid w:val="1C8B51CC"/>
    <w:rsid w:val="1C905109"/>
    <w:rsid w:val="1C9557FA"/>
    <w:rsid w:val="1C9B5177"/>
    <w:rsid w:val="1C9B5884"/>
    <w:rsid w:val="1CA140C0"/>
    <w:rsid w:val="1CA50A6D"/>
    <w:rsid w:val="1CA81CD6"/>
    <w:rsid w:val="1CA83C98"/>
    <w:rsid w:val="1CAD02EA"/>
    <w:rsid w:val="1CB012AF"/>
    <w:rsid w:val="1CB037E7"/>
    <w:rsid w:val="1CB25A44"/>
    <w:rsid w:val="1CBD5F87"/>
    <w:rsid w:val="1CC4004A"/>
    <w:rsid w:val="1CC90389"/>
    <w:rsid w:val="1CD16FB7"/>
    <w:rsid w:val="1CD43BFA"/>
    <w:rsid w:val="1CD51803"/>
    <w:rsid w:val="1CDD3922"/>
    <w:rsid w:val="1CDE6DFF"/>
    <w:rsid w:val="1CE17F54"/>
    <w:rsid w:val="1CE33786"/>
    <w:rsid w:val="1CE6238D"/>
    <w:rsid w:val="1CE81681"/>
    <w:rsid w:val="1CE9587D"/>
    <w:rsid w:val="1CEE15F0"/>
    <w:rsid w:val="1CEF00BB"/>
    <w:rsid w:val="1CF61DDF"/>
    <w:rsid w:val="1CF6306E"/>
    <w:rsid w:val="1CF829E7"/>
    <w:rsid w:val="1CF959E9"/>
    <w:rsid w:val="1CFF0AC4"/>
    <w:rsid w:val="1D0012B6"/>
    <w:rsid w:val="1D006717"/>
    <w:rsid w:val="1D0357FE"/>
    <w:rsid w:val="1D05110B"/>
    <w:rsid w:val="1D0D4047"/>
    <w:rsid w:val="1D0E4B8B"/>
    <w:rsid w:val="1D176CEB"/>
    <w:rsid w:val="1D1C5247"/>
    <w:rsid w:val="1D1E7A58"/>
    <w:rsid w:val="1D1F2F14"/>
    <w:rsid w:val="1D21254D"/>
    <w:rsid w:val="1D213B9B"/>
    <w:rsid w:val="1D223CAA"/>
    <w:rsid w:val="1D2C075C"/>
    <w:rsid w:val="1D2F013F"/>
    <w:rsid w:val="1D343697"/>
    <w:rsid w:val="1D3B4AA5"/>
    <w:rsid w:val="1D411E32"/>
    <w:rsid w:val="1D432995"/>
    <w:rsid w:val="1D447161"/>
    <w:rsid w:val="1D4A2396"/>
    <w:rsid w:val="1D4C6D19"/>
    <w:rsid w:val="1D50787E"/>
    <w:rsid w:val="1D516AE1"/>
    <w:rsid w:val="1D5277E1"/>
    <w:rsid w:val="1D580548"/>
    <w:rsid w:val="1D582530"/>
    <w:rsid w:val="1D5D5B07"/>
    <w:rsid w:val="1D5F75CD"/>
    <w:rsid w:val="1D643E71"/>
    <w:rsid w:val="1D6E6808"/>
    <w:rsid w:val="1D756DBE"/>
    <w:rsid w:val="1D7644B5"/>
    <w:rsid w:val="1D7830A0"/>
    <w:rsid w:val="1D845952"/>
    <w:rsid w:val="1D891AA7"/>
    <w:rsid w:val="1D91399F"/>
    <w:rsid w:val="1D9B0F50"/>
    <w:rsid w:val="1DA101F0"/>
    <w:rsid w:val="1DA30E84"/>
    <w:rsid w:val="1DA479DC"/>
    <w:rsid w:val="1DAD5B6A"/>
    <w:rsid w:val="1DB51673"/>
    <w:rsid w:val="1DB573D4"/>
    <w:rsid w:val="1DBA0456"/>
    <w:rsid w:val="1DC31AF1"/>
    <w:rsid w:val="1DC407D4"/>
    <w:rsid w:val="1DC953B4"/>
    <w:rsid w:val="1DCA2E80"/>
    <w:rsid w:val="1DCB5E94"/>
    <w:rsid w:val="1DCE34C4"/>
    <w:rsid w:val="1DCF1631"/>
    <w:rsid w:val="1DD06B5B"/>
    <w:rsid w:val="1DD36AAC"/>
    <w:rsid w:val="1DD46470"/>
    <w:rsid w:val="1DD51B3E"/>
    <w:rsid w:val="1DD80E4A"/>
    <w:rsid w:val="1DDB39E8"/>
    <w:rsid w:val="1DDE23E2"/>
    <w:rsid w:val="1DE65662"/>
    <w:rsid w:val="1DED22F9"/>
    <w:rsid w:val="1DF112DA"/>
    <w:rsid w:val="1DF34617"/>
    <w:rsid w:val="1DF87061"/>
    <w:rsid w:val="1DFF58D4"/>
    <w:rsid w:val="1DFF5E63"/>
    <w:rsid w:val="1E080E0F"/>
    <w:rsid w:val="1E1049B5"/>
    <w:rsid w:val="1E114F39"/>
    <w:rsid w:val="1E145B9D"/>
    <w:rsid w:val="1E182D6E"/>
    <w:rsid w:val="1E290FEE"/>
    <w:rsid w:val="1E2F6123"/>
    <w:rsid w:val="1E312EFF"/>
    <w:rsid w:val="1E325C62"/>
    <w:rsid w:val="1E327EBC"/>
    <w:rsid w:val="1E35516D"/>
    <w:rsid w:val="1E365C25"/>
    <w:rsid w:val="1E37036C"/>
    <w:rsid w:val="1E3C23F0"/>
    <w:rsid w:val="1E3D2642"/>
    <w:rsid w:val="1E3D3DFA"/>
    <w:rsid w:val="1E3E0297"/>
    <w:rsid w:val="1E42661D"/>
    <w:rsid w:val="1E4E70E9"/>
    <w:rsid w:val="1E5032C6"/>
    <w:rsid w:val="1E517EE3"/>
    <w:rsid w:val="1E544C18"/>
    <w:rsid w:val="1E625750"/>
    <w:rsid w:val="1E637854"/>
    <w:rsid w:val="1E666C0C"/>
    <w:rsid w:val="1E6A0471"/>
    <w:rsid w:val="1E6E1C6F"/>
    <w:rsid w:val="1E6E4118"/>
    <w:rsid w:val="1E7E682F"/>
    <w:rsid w:val="1E83363D"/>
    <w:rsid w:val="1E840B2D"/>
    <w:rsid w:val="1E84122D"/>
    <w:rsid w:val="1E8B7C1E"/>
    <w:rsid w:val="1E90384D"/>
    <w:rsid w:val="1EA0253E"/>
    <w:rsid w:val="1EA27F58"/>
    <w:rsid w:val="1EAD0465"/>
    <w:rsid w:val="1EAE71FC"/>
    <w:rsid w:val="1EB042A1"/>
    <w:rsid w:val="1EB06519"/>
    <w:rsid w:val="1EB2160A"/>
    <w:rsid w:val="1EB42ED7"/>
    <w:rsid w:val="1EB56FE6"/>
    <w:rsid w:val="1EB95609"/>
    <w:rsid w:val="1EBB5FE3"/>
    <w:rsid w:val="1EBC2E6B"/>
    <w:rsid w:val="1EBD606C"/>
    <w:rsid w:val="1EBE3367"/>
    <w:rsid w:val="1EC274FC"/>
    <w:rsid w:val="1EC718DE"/>
    <w:rsid w:val="1ECB155F"/>
    <w:rsid w:val="1ECE5D05"/>
    <w:rsid w:val="1ECF09C7"/>
    <w:rsid w:val="1ECF503F"/>
    <w:rsid w:val="1ED02286"/>
    <w:rsid w:val="1ED455DD"/>
    <w:rsid w:val="1EDA6107"/>
    <w:rsid w:val="1EDE294F"/>
    <w:rsid w:val="1EDF0BAD"/>
    <w:rsid w:val="1EDF295B"/>
    <w:rsid w:val="1EE01202"/>
    <w:rsid w:val="1EE7275C"/>
    <w:rsid w:val="1EE92671"/>
    <w:rsid w:val="1EEB6467"/>
    <w:rsid w:val="1EF403DF"/>
    <w:rsid w:val="1EF7286C"/>
    <w:rsid w:val="1EFB2E9E"/>
    <w:rsid w:val="1EFD449A"/>
    <w:rsid w:val="1EFF6C8D"/>
    <w:rsid w:val="1F060C2B"/>
    <w:rsid w:val="1F083B75"/>
    <w:rsid w:val="1F0B2A21"/>
    <w:rsid w:val="1F0D112B"/>
    <w:rsid w:val="1F1447F6"/>
    <w:rsid w:val="1F1453E6"/>
    <w:rsid w:val="1F145F86"/>
    <w:rsid w:val="1F146CF7"/>
    <w:rsid w:val="1F153D0A"/>
    <w:rsid w:val="1F18224A"/>
    <w:rsid w:val="1F197512"/>
    <w:rsid w:val="1F1D6D27"/>
    <w:rsid w:val="1F1F1DFD"/>
    <w:rsid w:val="1F204CEA"/>
    <w:rsid w:val="1F217AA7"/>
    <w:rsid w:val="1F2334C2"/>
    <w:rsid w:val="1F2531DD"/>
    <w:rsid w:val="1F273D63"/>
    <w:rsid w:val="1F2D033C"/>
    <w:rsid w:val="1F3869BC"/>
    <w:rsid w:val="1F3A05A8"/>
    <w:rsid w:val="1F3A53AF"/>
    <w:rsid w:val="1F3C6F68"/>
    <w:rsid w:val="1F505DE7"/>
    <w:rsid w:val="1F515BD9"/>
    <w:rsid w:val="1F5577D0"/>
    <w:rsid w:val="1F574652"/>
    <w:rsid w:val="1F581BF7"/>
    <w:rsid w:val="1F582041"/>
    <w:rsid w:val="1F597D76"/>
    <w:rsid w:val="1F5A6630"/>
    <w:rsid w:val="1F5F77B6"/>
    <w:rsid w:val="1F627DE8"/>
    <w:rsid w:val="1F6B2418"/>
    <w:rsid w:val="1F704242"/>
    <w:rsid w:val="1F772165"/>
    <w:rsid w:val="1F7915DF"/>
    <w:rsid w:val="1F7D1D3C"/>
    <w:rsid w:val="1F804011"/>
    <w:rsid w:val="1F8641A7"/>
    <w:rsid w:val="1F872046"/>
    <w:rsid w:val="1F8A091E"/>
    <w:rsid w:val="1F8F0B9D"/>
    <w:rsid w:val="1F902DB2"/>
    <w:rsid w:val="1F930DB8"/>
    <w:rsid w:val="1F944A15"/>
    <w:rsid w:val="1F9E1E3E"/>
    <w:rsid w:val="1FA03EB9"/>
    <w:rsid w:val="1FA6252C"/>
    <w:rsid w:val="1FAE1281"/>
    <w:rsid w:val="1FAE2135"/>
    <w:rsid w:val="1FB263DC"/>
    <w:rsid w:val="1FB67754"/>
    <w:rsid w:val="1FB8193D"/>
    <w:rsid w:val="1FB97F24"/>
    <w:rsid w:val="1FBC296D"/>
    <w:rsid w:val="1FBC6F29"/>
    <w:rsid w:val="1FBF2D1C"/>
    <w:rsid w:val="1FC41911"/>
    <w:rsid w:val="1FC730DF"/>
    <w:rsid w:val="1FC844EC"/>
    <w:rsid w:val="1FCC3129"/>
    <w:rsid w:val="1FCF29CF"/>
    <w:rsid w:val="1FD159A2"/>
    <w:rsid w:val="1FD378FB"/>
    <w:rsid w:val="1FDE184B"/>
    <w:rsid w:val="1FDF001F"/>
    <w:rsid w:val="1FDF1C6E"/>
    <w:rsid w:val="1FDF7A57"/>
    <w:rsid w:val="1FE15982"/>
    <w:rsid w:val="1FE35F19"/>
    <w:rsid w:val="1FE6313C"/>
    <w:rsid w:val="1FEA7A4F"/>
    <w:rsid w:val="1FEB2F49"/>
    <w:rsid w:val="1FF36ABA"/>
    <w:rsid w:val="1FF862A0"/>
    <w:rsid w:val="1FF95CA5"/>
    <w:rsid w:val="1FFA6F0C"/>
    <w:rsid w:val="20021536"/>
    <w:rsid w:val="20023CD9"/>
    <w:rsid w:val="200336FE"/>
    <w:rsid w:val="20073429"/>
    <w:rsid w:val="20075C76"/>
    <w:rsid w:val="200854B2"/>
    <w:rsid w:val="2009138D"/>
    <w:rsid w:val="200D34F7"/>
    <w:rsid w:val="200D6BB0"/>
    <w:rsid w:val="20126D60"/>
    <w:rsid w:val="20135F44"/>
    <w:rsid w:val="20150008"/>
    <w:rsid w:val="201836AB"/>
    <w:rsid w:val="201920C0"/>
    <w:rsid w:val="201F0BB7"/>
    <w:rsid w:val="20224E43"/>
    <w:rsid w:val="2025113B"/>
    <w:rsid w:val="202C1272"/>
    <w:rsid w:val="202D5989"/>
    <w:rsid w:val="202E1466"/>
    <w:rsid w:val="2030323B"/>
    <w:rsid w:val="203856B1"/>
    <w:rsid w:val="203948A6"/>
    <w:rsid w:val="203A3726"/>
    <w:rsid w:val="20452F78"/>
    <w:rsid w:val="204834BA"/>
    <w:rsid w:val="204A38C5"/>
    <w:rsid w:val="204A5D3F"/>
    <w:rsid w:val="20524B5A"/>
    <w:rsid w:val="205521DF"/>
    <w:rsid w:val="20605F52"/>
    <w:rsid w:val="206B3FAA"/>
    <w:rsid w:val="206E7F3A"/>
    <w:rsid w:val="206F734C"/>
    <w:rsid w:val="2070659E"/>
    <w:rsid w:val="207564AB"/>
    <w:rsid w:val="20811425"/>
    <w:rsid w:val="20830EEB"/>
    <w:rsid w:val="20836A1E"/>
    <w:rsid w:val="20870E6C"/>
    <w:rsid w:val="20873C87"/>
    <w:rsid w:val="20875A61"/>
    <w:rsid w:val="20880D7F"/>
    <w:rsid w:val="208B353C"/>
    <w:rsid w:val="208E3273"/>
    <w:rsid w:val="209B5596"/>
    <w:rsid w:val="20A06F2B"/>
    <w:rsid w:val="20A20358"/>
    <w:rsid w:val="20A20AD8"/>
    <w:rsid w:val="20AC1060"/>
    <w:rsid w:val="20B02D3A"/>
    <w:rsid w:val="20B37E6D"/>
    <w:rsid w:val="20C172E0"/>
    <w:rsid w:val="20C614EE"/>
    <w:rsid w:val="20C745CA"/>
    <w:rsid w:val="20CB6849"/>
    <w:rsid w:val="20D1389E"/>
    <w:rsid w:val="20D4111C"/>
    <w:rsid w:val="20D726A3"/>
    <w:rsid w:val="20DD37E3"/>
    <w:rsid w:val="20E42167"/>
    <w:rsid w:val="20ED650F"/>
    <w:rsid w:val="20F06524"/>
    <w:rsid w:val="20FF13AB"/>
    <w:rsid w:val="210B411B"/>
    <w:rsid w:val="210E0B54"/>
    <w:rsid w:val="210E5E0E"/>
    <w:rsid w:val="21107A85"/>
    <w:rsid w:val="2111116F"/>
    <w:rsid w:val="21140D48"/>
    <w:rsid w:val="2114368F"/>
    <w:rsid w:val="21145B47"/>
    <w:rsid w:val="212033DD"/>
    <w:rsid w:val="21224D81"/>
    <w:rsid w:val="21260124"/>
    <w:rsid w:val="212D4721"/>
    <w:rsid w:val="213C2FBB"/>
    <w:rsid w:val="213C65D3"/>
    <w:rsid w:val="2143663E"/>
    <w:rsid w:val="21455E51"/>
    <w:rsid w:val="21475126"/>
    <w:rsid w:val="214A6A63"/>
    <w:rsid w:val="214C045A"/>
    <w:rsid w:val="214E3BB5"/>
    <w:rsid w:val="21555938"/>
    <w:rsid w:val="21576C6B"/>
    <w:rsid w:val="21580593"/>
    <w:rsid w:val="215E4661"/>
    <w:rsid w:val="215F03F5"/>
    <w:rsid w:val="215F0C1A"/>
    <w:rsid w:val="215F60A0"/>
    <w:rsid w:val="21627158"/>
    <w:rsid w:val="2165640F"/>
    <w:rsid w:val="216B4B14"/>
    <w:rsid w:val="216D1F32"/>
    <w:rsid w:val="216F580D"/>
    <w:rsid w:val="21703F62"/>
    <w:rsid w:val="217077B7"/>
    <w:rsid w:val="21722087"/>
    <w:rsid w:val="217234F0"/>
    <w:rsid w:val="21750AF8"/>
    <w:rsid w:val="21795633"/>
    <w:rsid w:val="217C72B6"/>
    <w:rsid w:val="217E13E9"/>
    <w:rsid w:val="218154D6"/>
    <w:rsid w:val="21837F15"/>
    <w:rsid w:val="21847096"/>
    <w:rsid w:val="21875634"/>
    <w:rsid w:val="218760B3"/>
    <w:rsid w:val="218A17BC"/>
    <w:rsid w:val="218C367D"/>
    <w:rsid w:val="218D4581"/>
    <w:rsid w:val="218D5A9B"/>
    <w:rsid w:val="218D714B"/>
    <w:rsid w:val="2194758B"/>
    <w:rsid w:val="219965EE"/>
    <w:rsid w:val="219B559C"/>
    <w:rsid w:val="21A2435C"/>
    <w:rsid w:val="21A37BED"/>
    <w:rsid w:val="21AA13DE"/>
    <w:rsid w:val="21AA49F6"/>
    <w:rsid w:val="21AD6F4E"/>
    <w:rsid w:val="21AE0ED8"/>
    <w:rsid w:val="21AE3578"/>
    <w:rsid w:val="21B253BF"/>
    <w:rsid w:val="21B566BB"/>
    <w:rsid w:val="21B83060"/>
    <w:rsid w:val="21BA6249"/>
    <w:rsid w:val="21BC6D5B"/>
    <w:rsid w:val="21BF7F66"/>
    <w:rsid w:val="21C306F3"/>
    <w:rsid w:val="21D32CBA"/>
    <w:rsid w:val="21D81D04"/>
    <w:rsid w:val="21DE2722"/>
    <w:rsid w:val="21E00695"/>
    <w:rsid w:val="21E525D8"/>
    <w:rsid w:val="21E5787D"/>
    <w:rsid w:val="21E861FE"/>
    <w:rsid w:val="21EA3F8D"/>
    <w:rsid w:val="21EA67E0"/>
    <w:rsid w:val="21EF3015"/>
    <w:rsid w:val="21F336B6"/>
    <w:rsid w:val="21FD7270"/>
    <w:rsid w:val="22001F27"/>
    <w:rsid w:val="22023119"/>
    <w:rsid w:val="22035975"/>
    <w:rsid w:val="22141AD6"/>
    <w:rsid w:val="22143402"/>
    <w:rsid w:val="221503F3"/>
    <w:rsid w:val="22163F3B"/>
    <w:rsid w:val="221E19EC"/>
    <w:rsid w:val="221E6EC5"/>
    <w:rsid w:val="2222074D"/>
    <w:rsid w:val="22267387"/>
    <w:rsid w:val="22292080"/>
    <w:rsid w:val="222A29C6"/>
    <w:rsid w:val="222B179F"/>
    <w:rsid w:val="222C3519"/>
    <w:rsid w:val="22362D51"/>
    <w:rsid w:val="223A2527"/>
    <w:rsid w:val="223C011C"/>
    <w:rsid w:val="223C4EF3"/>
    <w:rsid w:val="22403DCF"/>
    <w:rsid w:val="224138A0"/>
    <w:rsid w:val="224B1CD3"/>
    <w:rsid w:val="224B3B04"/>
    <w:rsid w:val="224B58A2"/>
    <w:rsid w:val="224D19B8"/>
    <w:rsid w:val="224E22E5"/>
    <w:rsid w:val="225221DD"/>
    <w:rsid w:val="22586ED6"/>
    <w:rsid w:val="225C38B8"/>
    <w:rsid w:val="225E215B"/>
    <w:rsid w:val="22616418"/>
    <w:rsid w:val="22665C19"/>
    <w:rsid w:val="226747E9"/>
    <w:rsid w:val="226A4331"/>
    <w:rsid w:val="226A7027"/>
    <w:rsid w:val="226E56BB"/>
    <w:rsid w:val="22702D3E"/>
    <w:rsid w:val="22771A98"/>
    <w:rsid w:val="227A2B52"/>
    <w:rsid w:val="227E0C7A"/>
    <w:rsid w:val="228351A7"/>
    <w:rsid w:val="228A1B42"/>
    <w:rsid w:val="22916E6F"/>
    <w:rsid w:val="22974625"/>
    <w:rsid w:val="22A06EF8"/>
    <w:rsid w:val="22A44607"/>
    <w:rsid w:val="22A60DC9"/>
    <w:rsid w:val="22A70A26"/>
    <w:rsid w:val="22A72D9F"/>
    <w:rsid w:val="22AA7723"/>
    <w:rsid w:val="22AC164E"/>
    <w:rsid w:val="22B2637F"/>
    <w:rsid w:val="22B418AF"/>
    <w:rsid w:val="22B77317"/>
    <w:rsid w:val="22C333CF"/>
    <w:rsid w:val="22C43179"/>
    <w:rsid w:val="22CA099F"/>
    <w:rsid w:val="22CA69CD"/>
    <w:rsid w:val="22CB6667"/>
    <w:rsid w:val="22CE69A3"/>
    <w:rsid w:val="22D1554F"/>
    <w:rsid w:val="22D24124"/>
    <w:rsid w:val="22DD24A5"/>
    <w:rsid w:val="22E07E95"/>
    <w:rsid w:val="22E26D44"/>
    <w:rsid w:val="22E26EBD"/>
    <w:rsid w:val="22E30828"/>
    <w:rsid w:val="22E50DCF"/>
    <w:rsid w:val="22F00D89"/>
    <w:rsid w:val="22F16C62"/>
    <w:rsid w:val="22FA7B3F"/>
    <w:rsid w:val="22FB5317"/>
    <w:rsid w:val="23026AF4"/>
    <w:rsid w:val="23047DCD"/>
    <w:rsid w:val="23096B03"/>
    <w:rsid w:val="230C3C70"/>
    <w:rsid w:val="230C4904"/>
    <w:rsid w:val="2312469B"/>
    <w:rsid w:val="23132630"/>
    <w:rsid w:val="231410DD"/>
    <w:rsid w:val="23170436"/>
    <w:rsid w:val="23172DF0"/>
    <w:rsid w:val="23194F5F"/>
    <w:rsid w:val="231D30EB"/>
    <w:rsid w:val="231D41AC"/>
    <w:rsid w:val="231D5701"/>
    <w:rsid w:val="231E3ED0"/>
    <w:rsid w:val="232065F7"/>
    <w:rsid w:val="23206C87"/>
    <w:rsid w:val="23253CFC"/>
    <w:rsid w:val="232B5140"/>
    <w:rsid w:val="23321E5E"/>
    <w:rsid w:val="23336450"/>
    <w:rsid w:val="233364E3"/>
    <w:rsid w:val="233424B3"/>
    <w:rsid w:val="2335653D"/>
    <w:rsid w:val="23382C52"/>
    <w:rsid w:val="233B5E18"/>
    <w:rsid w:val="233F19E3"/>
    <w:rsid w:val="234B0D34"/>
    <w:rsid w:val="234B7065"/>
    <w:rsid w:val="235273F4"/>
    <w:rsid w:val="23551721"/>
    <w:rsid w:val="235C6128"/>
    <w:rsid w:val="235F12C4"/>
    <w:rsid w:val="236139E8"/>
    <w:rsid w:val="23622C28"/>
    <w:rsid w:val="2363360F"/>
    <w:rsid w:val="236468EA"/>
    <w:rsid w:val="23672BBE"/>
    <w:rsid w:val="236A7303"/>
    <w:rsid w:val="236E13AF"/>
    <w:rsid w:val="23726305"/>
    <w:rsid w:val="237A68C7"/>
    <w:rsid w:val="237D40F5"/>
    <w:rsid w:val="238624E5"/>
    <w:rsid w:val="23883796"/>
    <w:rsid w:val="238C16D5"/>
    <w:rsid w:val="238E7CD2"/>
    <w:rsid w:val="238F2B54"/>
    <w:rsid w:val="238F7FE9"/>
    <w:rsid w:val="239006C7"/>
    <w:rsid w:val="23927083"/>
    <w:rsid w:val="2392725A"/>
    <w:rsid w:val="23932015"/>
    <w:rsid w:val="239343C4"/>
    <w:rsid w:val="23942E19"/>
    <w:rsid w:val="23961A12"/>
    <w:rsid w:val="23964A11"/>
    <w:rsid w:val="23A31CFA"/>
    <w:rsid w:val="23A53476"/>
    <w:rsid w:val="23AF4AE0"/>
    <w:rsid w:val="23B55237"/>
    <w:rsid w:val="23C26CFD"/>
    <w:rsid w:val="23C8129A"/>
    <w:rsid w:val="23C968DF"/>
    <w:rsid w:val="23CF556A"/>
    <w:rsid w:val="23D547A6"/>
    <w:rsid w:val="23D82AD6"/>
    <w:rsid w:val="23DA62F7"/>
    <w:rsid w:val="23E45B52"/>
    <w:rsid w:val="23E63BA1"/>
    <w:rsid w:val="23E85116"/>
    <w:rsid w:val="23EB7BE1"/>
    <w:rsid w:val="23ED342E"/>
    <w:rsid w:val="23ED7C62"/>
    <w:rsid w:val="23F26221"/>
    <w:rsid w:val="23F52C20"/>
    <w:rsid w:val="23F845B9"/>
    <w:rsid w:val="23FA2F8E"/>
    <w:rsid w:val="23FF1D05"/>
    <w:rsid w:val="23FF3832"/>
    <w:rsid w:val="240163F5"/>
    <w:rsid w:val="24025487"/>
    <w:rsid w:val="2404174D"/>
    <w:rsid w:val="240B1D0B"/>
    <w:rsid w:val="240E783E"/>
    <w:rsid w:val="240F2FFD"/>
    <w:rsid w:val="241906BD"/>
    <w:rsid w:val="241D030C"/>
    <w:rsid w:val="24213E18"/>
    <w:rsid w:val="24223766"/>
    <w:rsid w:val="242D5764"/>
    <w:rsid w:val="24315FB5"/>
    <w:rsid w:val="24341A49"/>
    <w:rsid w:val="243B765E"/>
    <w:rsid w:val="243D0917"/>
    <w:rsid w:val="243E4C2D"/>
    <w:rsid w:val="243F6A61"/>
    <w:rsid w:val="24406EB3"/>
    <w:rsid w:val="24422786"/>
    <w:rsid w:val="244A588F"/>
    <w:rsid w:val="244D0B05"/>
    <w:rsid w:val="244D27FE"/>
    <w:rsid w:val="244D67E2"/>
    <w:rsid w:val="2452702E"/>
    <w:rsid w:val="245B5662"/>
    <w:rsid w:val="245D6946"/>
    <w:rsid w:val="24601BB4"/>
    <w:rsid w:val="246E650A"/>
    <w:rsid w:val="24734C5A"/>
    <w:rsid w:val="248A72B4"/>
    <w:rsid w:val="248D1A34"/>
    <w:rsid w:val="249111F8"/>
    <w:rsid w:val="249661B1"/>
    <w:rsid w:val="249C5EA7"/>
    <w:rsid w:val="24A249BA"/>
    <w:rsid w:val="24A35C8A"/>
    <w:rsid w:val="24A51F50"/>
    <w:rsid w:val="24A960FD"/>
    <w:rsid w:val="24AB31B7"/>
    <w:rsid w:val="24AB7136"/>
    <w:rsid w:val="24B21077"/>
    <w:rsid w:val="24B707E0"/>
    <w:rsid w:val="24BB2646"/>
    <w:rsid w:val="24BD6070"/>
    <w:rsid w:val="24D41405"/>
    <w:rsid w:val="24D9032C"/>
    <w:rsid w:val="24E07F23"/>
    <w:rsid w:val="24E721B1"/>
    <w:rsid w:val="24E73903"/>
    <w:rsid w:val="24EF3CBF"/>
    <w:rsid w:val="24F23153"/>
    <w:rsid w:val="24FA1D86"/>
    <w:rsid w:val="24FD7D3A"/>
    <w:rsid w:val="24FE4884"/>
    <w:rsid w:val="25023B10"/>
    <w:rsid w:val="25052C3D"/>
    <w:rsid w:val="25096FFE"/>
    <w:rsid w:val="250B45B8"/>
    <w:rsid w:val="250D34C9"/>
    <w:rsid w:val="250D7944"/>
    <w:rsid w:val="25126BA3"/>
    <w:rsid w:val="25156633"/>
    <w:rsid w:val="251D0C11"/>
    <w:rsid w:val="251E593E"/>
    <w:rsid w:val="252155DF"/>
    <w:rsid w:val="25216277"/>
    <w:rsid w:val="252167B4"/>
    <w:rsid w:val="25246764"/>
    <w:rsid w:val="252A489F"/>
    <w:rsid w:val="252B2A2C"/>
    <w:rsid w:val="252C11DF"/>
    <w:rsid w:val="25342352"/>
    <w:rsid w:val="253C04AE"/>
    <w:rsid w:val="253F161C"/>
    <w:rsid w:val="25416F08"/>
    <w:rsid w:val="25480549"/>
    <w:rsid w:val="254B25C7"/>
    <w:rsid w:val="254C0500"/>
    <w:rsid w:val="25502F26"/>
    <w:rsid w:val="255138E2"/>
    <w:rsid w:val="2558596F"/>
    <w:rsid w:val="255B7A78"/>
    <w:rsid w:val="2563766E"/>
    <w:rsid w:val="25663D60"/>
    <w:rsid w:val="25681849"/>
    <w:rsid w:val="25697974"/>
    <w:rsid w:val="257057F6"/>
    <w:rsid w:val="25710162"/>
    <w:rsid w:val="25756279"/>
    <w:rsid w:val="257D1F12"/>
    <w:rsid w:val="25854029"/>
    <w:rsid w:val="25855B76"/>
    <w:rsid w:val="258A1AEB"/>
    <w:rsid w:val="258F2AD1"/>
    <w:rsid w:val="258F31FA"/>
    <w:rsid w:val="259825AC"/>
    <w:rsid w:val="25A063C1"/>
    <w:rsid w:val="25A43D0F"/>
    <w:rsid w:val="25A641D2"/>
    <w:rsid w:val="25AA3EAF"/>
    <w:rsid w:val="25AD1A9A"/>
    <w:rsid w:val="25B24C8B"/>
    <w:rsid w:val="25B55387"/>
    <w:rsid w:val="25BD5123"/>
    <w:rsid w:val="25C97EC1"/>
    <w:rsid w:val="25CE6F33"/>
    <w:rsid w:val="25D40326"/>
    <w:rsid w:val="25D636F5"/>
    <w:rsid w:val="25D82D06"/>
    <w:rsid w:val="25DD0DBB"/>
    <w:rsid w:val="25DD1E0C"/>
    <w:rsid w:val="25DD6511"/>
    <w:rsid w:val="25E76D4D"/>
    <w:rsid w:val="25EC41D2"/>
    <w:rsid w:val="25F10285"/>
    <w:rsid w:val="25F137F1"/>
    <w:rsid w:val="25F272BC"/>
    <w:rsid w:val="25FA2FC8"/>
    <w:rsid w:val="26017724"/>
    <w:rsid w:val="26062DB3"/>
    <w:rsid w:val="26080D28"/>
    <w:rsid w:val="260C70DF"/>
    <w:rsid w:val="260D159B"/>
    <w:rsid w:val="260D5A66"/>
    <w:rsid w:val="261775DF"/>
    <w:rsid w:val="2618781A"/>
    <w:rsid w:val="2619005D"/>
    <w:rsid w:val="261B46B6"/>
    <w:rsid w:val="261E4950"/>
    <w:rsid w:val="261E7907"/>
    <w:rsid w:val="261F518B"/>
    <w:rsid w:val="262316A9"/>
    <w:rsid w:val="262672DE"/>
    <w:rsid w:val="2628269D"/>
    <w:rsid w:val="26290F95"/>
    <w:rsid w:val="262D79C4"/>
    <w:rsid w:val="26363738"/>
    <w:rsid w:val="26382100"/>
    <w:rsid w:val="263A4D16"/>
    <w:rsid w:val="26455AFD"/>
    <w:rsid w:val="264D28A0"/>
    <w:rsid w:val="264E4579"/>
    <w:rsid w:val="264E7DB9"/>
    <w:rsid w:val="26526452"/>
    <w:rsid w:val="26543C2E"/>
    <w:rsid w:val="26571F72"/>
    <w:rsid w:val="265F2032"/>
    <w:rsid w:val="26606DCE"/>
    <w:rsid w:val="26633E71"/>
    <w:rsid w:val="266558BA"/>
    <w:rsid w:val="26664FC9"/>
    <w:rsid w:val="26690FBD"/>
    <w:rsid w:val="266B5978"/>
    <w:rsid w:val="267236C8"/>
    <w:rsid w:val="267A740D"/>
    <w:rsid w:val="267E7702"/>
    <w:rsid w:val="2680292B"/>
    <w:rsid w:val="26837BC4"/>
    <w:rsid w:val="26861A70"/>
    <w:rsid w:val="268733C7"/>
    <w:rsid w:val="26970B5F"/>
    <w:rsid w:val="269750A2"/>
    <w:rsid w:val="26976EFF"/>
    <w:rsid w:val="269D0ED9"/>
    <w:rsid w:val="26A0255B"/>
    <w:rsid w:val="26AE48F3"/>
    <w:rsid w:val="26B17A3B"/>
    <w:rsid w:val="26B84C4D"/>
    <w:rsid w:val="26B958A0"/>
    <w:rsid w:val="26BA4341"/>
    <w:rsid w:val="26BC7F36"/>
    <w:rsid w:val="26BD4338"/>
    <w:rsid w:val="26C035FB"/>
    <w:rsid w:val="26C649A3"/>
    <w:rsid w:val="26CA10AB"/>
    <w:rsid w:val="26CB6B0F"/>
    <w:rsid w:val="26CC10D3"/>
    <w:rsid w:val="26D86185"/>
    <w:rsid w:val="26DA1097"/>
    <w:rsid w:val="26E3365D"/>
    <w:rsid w:val="26E673CF"/>
    <w:rsid w:val="26E7034A"/>
    <w:rsid w:val="26E756B2"/>
    <w:rsid w:val="26EA5655"/>
    <w:rsid w:val="26F374BD"/>
    <w:rsid w:val="26F44E79"/>
    <w:rsid w:val="26F459DC"/>
    <w:rsid w:val="26F65B32"/>
    <w:rsid w:val="26F934DF"/>
    <w:rsid w:val="26FF1198"/>
    <w:rsid w:val="27020863"/>
    <w:rsid w:val="27024BFD"/>
    <w:rsid w:val="270A783F"/>
    <w:rsid w:val="271107C8"/>
    <w:rsid w:val="27113D1F"/>
    <w:rsid w:val="27135897"/>
    <w:rsid w:val="271507B9"/>
    <w:rsid w:val="2716264F"/>
    <w:rsid w:val="27170C24"/>
    <w:rsid w:val="27195A5B"/>
    <w:rsid w:val="271A6268"/>
    <w:rsid w:val="271D1A57"/>
    <w:rsid w:val="27202790"/>
    <w:rsid w:val="27207958"/>
    <w:rsid w:val="27211016"/>
    <w:rsid w:val="27224DF6"/>
    <w:rsid w:val="272536D5"/>
    <w:rsid w:val="272909CF"/>
    <w:rsid w:val="272B22F8"/>
    <w:rsid w:val="272B37D7"/>
    <w:rsid w:val="27301DE7"/>
    <w:rsid w:val="27385933"/>
    <w:rsid w:val="273B5DA1"/>
    <w:rsid w:val="273B71C8"/>
    <w:rsid w:val="273D5653"/>
    <w:rsid w:val="273E15DF"/>
    <w:rsid w:val="274C3B89"/>
    <w:rsid w:val="274E692C"/>
    <w:rsid w:val="27527CEC"/>
    <w:rsid w:val="275969AD"/>
    <w:rsid w:val="275B1376"/>
    <w:rsid w:val="275B31DD"/>
    <w:rsid w:val="275C74BE"/>
    <w:rsid w:val="275C7B03"/>
    <w:rsid w:val="275D36CF"/>
    <w:rsid w:val="27602605"/>
    <w:rsid w:val="276C6C78"/>
    <w:rsid w:val="276C7D24"/>
    <w:rsid w:val="277173E8"/>
    <w:rsid w:val="27777750"/>
    <w:rsid w:val="27782787"/>
    <w:rsid w:val="277C0363"/>
    <w:rsid w:val="27820FBE"/>
    <w:rsid w:val="27822E7E"/>
    <w:rsid w:val="278356E5"/>
    <w:rsid w:val="27884573"/>
    <w:rsid w:val="279903F0"/>
    <w:rsid w:val="279951C8"/>
    <w:rsid w:val="279A58AB"/>
    <w:rsid w:val="279B146F"/>
    <w:rsid w:val="279C0E9E"/>
    <w:rsid w:val="279F7DB1"/>
    <w:rsid w:val="27A203F6"/>
    <w:rsid w:val="27A66C19"/>
    <w:rsid w:val="27A81329"/>
    <w:rsid w:val="27AD3F0C"/>
    <w:rsid w:val="27B1431F"/>
    <w:rsid w:val="27B70D05"/>
    <w:rsid w:val="27BB1FB8"/>
    <w:rsid w:val="27CC11C5"/>
    <w:rsid w:val="27CD750D"/>
    <w:rsid w:val="27D80153"/>
    <w:rsid w:val="27D92530"/>
    <w:rsid w:val="27D97B3C"/>
    <w:rsid w:val="27DC3688"/>
    <w:rsid w:val="27DE1326"/>
    <w:rsid w:val="27EB2259"/>
    <w:rsid w:val="27EB30B9"/>
    <w:rsid w:val="27EC524E"/>
    <w:rsid w:val="27ED5E24"/>
    <w:rsid w:val="27F11107"/>
    <w:rsid w:val="27F96DC4"/>
    <w:rsid w:val="27FD30AB"/>
    <w:rsid w:val="28032303"/>
    <w:rsid w:val="2808322A"/>
    <w:rsid w:val="28092D7E"/>
    <w:rsid w:val="280A7183"/>
    <w:rsid w:val="280B3003"/>
    <w:rsid w:val="280C515E"/>
    <w:rsid w:val="281131C5"/>
    <w:rsid w:val="28136824"/>
    <w:rsid w:val="28160A96"/>
    <w:rsid w:val="28177602"/>
    <w:rsid w:val="28180899"/>
    <w:rsid w:val="282041EB"/>
    <w:rsid w:val="28287F42"/>
    <w:rsid w:val="282D12E0"/>
    <w:rsid w:val="28310FDD"/>
    <w:rsid w:val="283467C1"/>
    <w:rsid w:val="283A0645"/>
    <w:rsid w:val="283D76D3"/>
    <w:rsid w:val="2840255F"/>
    <w:rsid w:val="284031EC"/>
    <w:rsid w:val="28411688"/>
    <w:rsid w:val="2842685E"/>
    <w:rsid w:val="284578EF"/>
    <w:rsid w:val="285023A6"/>
    <w:rsid w:val="28523BC4"/>
    <w:rsid w:val="2855393F"/>
    <w:rsid w:val="285839A7"/>
    <w:rsid w:val="28591FA3"/>
    <w:rsid w:val="2864478B"/>
    <w:rsid w:val="28656BEE"/>
    <w:rsid w:val="28672958"/>
    <w:rsid w:val="28682904"/>
    <w:rsid w:val="286D43E3"/>
    <w:rsid w:val="286D79A7"/>
    <w:rsid w:val="28700AC7"/>
    <w:rsid w:val="2870740C"/>
    <w:rsid w:val="287679D7"/>
    <w:rsid w:val="28783F71"/>
    <w:rsid w:val="287A0BBA"/>
    <w:rsid w:val="287A178E"/>
    <w:rsid w:val="287D6D38"/>
    <w:rsid w:val="287F4A5E"/>
    <w:rsid w:val="287F7361"/>
    <w:rsid w:val="28865DBB"/>
    <w:rsid w:val="28886836"/>
    <w:rsid w:val="288D2886"/>
    <w:rsid w:val="288E120A"/>
    <w:rsid w:val="28930D91"/>
    <w:rsid w:val="28944450"/>
    <w:rsid w:val="289933AC"/>
    <w:rsid w:val="289B1522"/>
    <w:rsid w:val="289D3EBD"/>
    <w:rsid w:val="28A2203C"/>
    <w:rsid w:val="28AB48B6"/>
    <w:rsid w:val="28AC138A"/>
    <w:rsid w:val="28AD5AB8"/>
    <w:rsid w:val="28AE54F6"/>
    <w:rsid w:val="28AE6618"/>
    <w:rsid w:val="28AF08D2"/>
    <w:rsid w:val="28B21023"/>
    <w:rsid w:val="28C037AA"/>
    <w:rsid w:val="28C36E49"/>
    <w:rsid w:val="28C4107E"/>
    <w:rsid w:val="28C67036"/>
    <w:rsid w:val="28C71711"/>
    <w:rsid w:val="28C8499E"/>
    <w:rsid w:val="28CD2E30"/>
    <w:rsid w:val="28D14BD8"/>
    <w:rsid w:val="28D34122"/>
    <w:rsid w:val="28D67056"/>
    <w:rsid w:val="28D9759E"/>
    <w:rsid w:val="28DB3FE3"/>
    <w:rsid w:val="28E26B36"/>
    <w:rsid w:val="28ED6A6E"/>
    <w:rsid w:val="28EE2DEB"/>
    <w:rsid w:val="28F410AF"/>
    <w:rsid w:val="28F835BF"/>
    <w:rsid w:val="28FD1978"/>
    <w:rsid w:val="29062AB3"/>
    <w:rsid w:val="29064157"/>
    <w:rsid w:val="29095BBE"/>
    <w:rsid w:val="29097DC3"/>
    <w:rsid w:val="290D1E0B"/>
    <w:rsid w:val="290D5D8B"/>
    <w:rsid w:val="29127423"/>
    <w:rsid w:val="2916350A"/>
    <w:rsid w:val="291776ED"/>
    <w:rsid w:val="29185488"/>
    <w:rsid w:val="291A4A16"/>
    <w:rsid w:val="29245709"/>
    <w:rsid w:val="292D363E"/>
    <w:rsid w:val="292F22C3"/>
    <w:rsid w:val="293237EB"/>
    <w:rsid w:val="2936345D"/>
    <w:rsid w:val="293678C7"/>
    <w:rsid w:val="29373C82"/>
    <w:rsid w:val="29377D2F"/>
    <w:rsid w:val="29385573"/>
    <w:rsid w:val="293B1DAA"/>
    <w:rsid w:val="293F387D"/>
    <w:rsid w:val="29467A4B"/>
    <w:rsid w:val="294A6C04"/>
    <w:rsid w:val="294C24CE"/>
    <w:rsid w:val="29526EB3"/>
    <w:rsid w:val="295B78CF"/>
    <w:rsid w:val="295D7783"/>
    <w:rsid w:val="29605084"/>
    <w:rsid w:val="296115DF"/>
    <w:rsid w:val="29625322"/>
    <w:rsid w:val="296319B5"/>
    <w:rsid w:val="29713C6F"/>
    <w:rsid w:val="29773636"/>
    <w:rsid w:val="29796F17"/>
    <w:rsid w:val="297D5779"/>
    <w:rsid w:val="297E7FED"/>
    <w:rsid w:val="29867A80"/>
    <w:rsid w:val="298837AF"/>
    <w:rsid w:val="298900AC"/>
    <w:rsid w:val="2993036F"/>
    <w:rsid w:val="29930B6A"/>
    <w:rsid w:val="299A7767"/>
    <w:rsid w:val="299B4217"/>
    <w:rsid w:val="299C0AE0"/>
    <w:rsid w:val="29A136F0"/>
    <w:rsid w:val="29A242FC"/>
    <w:rsid w:val="29A3226F"/>
    <w:rsid w:val="29A33A74"/>
    <w:rsid w:val="29AA0009"/>
    <w:rsid w:val="29B203DF"/>
    <w:rsid w:val="29B451A2"/>
    <w:rsid w:val="29B678BF"/>
    <w:rsid w:val="29BC0186"/>
    <w:rsid w:val="29BC0909"/>
    <w:rsid w:val="29C17439"/>
    <w:rsid w:val="29C66552"/>
    <w:rsid w:val="29C94933"/>
    <w:rsid w:val="29CC49D3"/>
    <w:rsid w:val="29CD79A8"/>
    <w:rsid w:val="29CF5884"/>
    <w:rsid w:val="29D03CA9"/>
    <w:rsid w:val="29D32435"/>
    <w:rsid w:val="29D325F0"/>
    <w:rsid w:val="29D647DA"/>
    <w:rsid w:val="29DA7FF9"/>
    <w:rsid w:val="29DE4A86"/>
    <w:rsid w:val="29DF07F5"/>
    <w:rsid w:val="29E7472E"/>
    <w:rsid w:val="29EA7C81"/>
    <w:rsid w:val="29EC1299"/>
    <w:rsid w:val="29ED11DA"/>
    <w:rsid w:val="29ED1516"/>
    <w:rsid w:val="29ED15F6"/>
    <w:rsid w:val="29EF0777"/>
    <w:rsid w:val="29F10BF0"/>
    <w:rsid w:val="29F5154F"/>
    <w:rsid w:val="29F52ED4"/>
    <w:rsid w:val="29F632A6"/>
    <w:rsid w:val="29F943E5"/>
    <w:rsid w:val="29FB0900"/>
    <w:rsid w:val="29FD5C5A"/>
    <w:rsid w:val="2A016542"/>
    <w:rsid w:val="2A0424FD"/>
    <w:rsid w:val="2A0C3E8D"/>
    <w:rsid w:val="2A1023F5"/>
    <w:rsid w:val="2A1306B4"/>
    <w:rsid w:val="2A1752C5"/>
    <w:rsid w:val="2A1B2B9D"/>
    <w:rsid w:val="2A1E46EE"/>
    <w:rsid w:val="2A1F5051"/>
    <w:rsid w:val="2A20265E"/>
    <w:rsid w:val="2A2369CA"/>
    <w:rsid w:val="2A26797A"/>
    <w:rsid w:val="2A290B76"/>
    <w:rsid w:val="2A2C05C0"/>
    <w:rsid w:val="2A2F1CCD"/>
    <w:rsid w:val="2A2F4ADE"/>
    <w:rsid w:val="2A3C1B38"/>
    <w:rsid w:val="2A3D01F5"/>
    <w:rsid w:val="2A415A8C"/>
    <w:rsid w:val="2A426B83"/>
    <w:rsid w:val="2A485A0C"/>
    <w:rsid w:val="2A4B4854"/>
    <w:rsid w:val="2A4E1C63"/>
    <w:rsid w:val="2A5306A1"/>
    <w:rsid w:val="2A6510EA"/>
    <w:rsid w:val="2A653F6F"/>
    <w:rsid w:val="2A677CA8"/>
    <w:rsid w:val="2A697EC4"/>
    <w:rsid w:val="2A6D08BD"/>
    <w:rsid w:val="2A6E00A2"/>
    <w:rsid w:val="2A77438F"/>
    <w:rsid w:val="2A784667"/>
    <w:rsid w:val="2A7C1D6A"/>
    <w:rsid w:val="2A7E1B6D"/>
    <w:rsid w:val="2A845191"/>
    <w:rsid w:val="2A8544BC"/>
    <w:rsid w:val="2A8C066D"/>
    <w:rsid w:val="2A961AE1"/>
    <w:rsid w:val="2A9949D2"/>
    <w:rsid w:val="2A9A4738"/>
    <w:rsid w:val="2A9F530C"/>
    <w:rsid w:val="2AA372C7"/>
    <w:rsid w:val="2AA421CE"/>
    <w:rsid w:val="2AA42C17"/>
    <w:rsid w:val="2AB0615C"/>
    <w:rsid w:val="2AB352FA"/>
    <w:rsid w:val="2AB65B66"/>
    <w:rsid w:val="2AB7478C"/>
    <w:rsid w:val="2AC47F5D"/>
    <w:rsid w:val="2ACA5E5E"/>
    <w:rsid w:val="2AD01908"/>
    <w:rsid w:val="2AD13C49"/>
    <w:rsid w:val="2AD939B3"/>
    <w:rsid w:val="2ADD54BA"/>
    <w:rsid w:val="2ADF2CDB"/>
    <w:rsid w:val="2AE02A3E"/>
    <w:rsid w:val="2AE167A5"/>
    <w:rsid w:val="2AE24B8F"/>
    <w:rsid w:val="2AEC1ADD"/>
    <w:rsid w:val="2AEF4EBD"/>
    <w:rsid w:val="2AF53946"/>
    <w:rsid w:val="2AF849C9"/>
    <w:rsid w:val="2B0016CE"/>
    <w:rsid w:val="2B0A5203"/>
    <w:rsid w:val="2B0B0A76"/>
    <w:rsid w:val="2B135532"/>
    <w:rsid w:val="2B2362C5"/>
    <w:rsid w:val="2B346562"/>
    <w:rsid w:val="2B371CB9"/>
    <w:rsid w:val="2B385979"/>
    <w:rsid w:val="2B3C1CA6"/>
    <w:rsid w:val="2B3D3FE4"/>
    <w:rsid w:val="2B400C25"/>
    <w:rsid w:val="2B425315"/>
    <w:rsid w:val="2B45011B"/>
    <w:rsid w:val="2B472759"/>
    <w:rsid w:val="2B481514"/>
    <w:rsid w:val="2B4A5265"/>
    <w:rsid w:val="2B4B5271"/>
    <w:rsid w:val="2B4D1F25"/>
    <w:rsid w:val="2B542196"/>
    <w:rsid w:val="2B554A1F"/>
    <w:rsid w:val="2B5740FE"/>
    <w:rsid w:val="2B593A95"/>
    <w:rsid w:val="2B597D0F"/>
    <w:rsid w:val="2B5F1042"/>
    <w:rsid w:val="2B5F1E46"/>
    <w:rsid w:val="2B601434"/>
    <w:rsid w:val="2B673C2C"/>
    <w:rsid w:val="2B786364"/>
    <w:rsid w:val="2B790ED1"/>
    <w:rsid w:val="2B7B33E8"/>
    <w:rsid w:val="2B7E2FD7"/>
    <w:rsid w:val="2B81473C"/>
    <w:rsid w:val="2B832A13"/>
    <w:rsid w:val="2B841AE3"/>
    <w:rsid w:val="2B8C00B2"/>
    <w:rsid w:val="2B8C7963"/>
    <w:rsid w:val="2B8F2B37"/>
    <w:rsid w:val="2B8F395A"/>
    <w:rsid w:val="2B9442D0"/>
    <w:rsid w:val="2B9E4480"/>
    <w:rsid w:val="2B9E4874"/>
    <w:rsid w:val="2BA47AA7"/>
    <w:rsid w:val="2BA51470"/>
    <w:rsid w:val="2BA75B44"/>
    <w:rsid w:val="2BAE7340"/>
    <w:rsid w:val="2BB66086"/>
    <w:rsid w:val="2BC058C2"/>
    <w:rsid w:val="2BC1478D"/>
    <w:rsid w:val="2BC552AA"/>
    <w:rsid w:val="2BC917B8"/>
    <w:rsid w:val="2BCD7AC2"/>
    <w:rsid w:val="2BCE73C5"/>
    <w:rsid w:val="2BD24959"/>
    <w:rsid w:val="2BD430E9"/>
    <w:rsid w:val="2BD650E5"/>
    <w:rsid w:val="2BD85B8C"/>
    <w:rsid w:val="2BE041B6"/>
    <w:rsid w:val="2BE478A3"/>
    <w:rsid w:val="2BE879A0"/>
    <w:rsid w:val="2BF43EE9"/>
    <w:rsid w:val="2C037B5D"/>
    <w:rsid w:val="2C07434D"/>
    <w:rsid w:val="2C097D3D"/>
    <w:rsid w:val="2C0A0BB5"/>
    <w:rsid w:val="2C123FB2"/>
    <w:rsid w:val="2C1309F1"/>
    <w:rsid w:val="2C171A72"/>
    <w:rsid w:val="2C19234B"/>
    <w:rsid w:val="2C1F26BE"/>
    <w:rsid w:val="2C2170D8"/>
    <w:rsid w:val="2C2904C5"/>
    <w:rsid w:val="2C293945"/>
    <w:rsid w:val="2C2A2917"/>
    <w:rsid w:val="2C316ED8"/>
    <w:rsid w:val="2C386822"/>
    <w:rsid w:val="2C401CD6"/>
    <w:rsid w:val="2C442F49"/>
    <w:rsid w:val="2C4564C6"/>
    <w:rsid w:val="2C4604E6"/>
    <w:rsid w:val="2C490282"/>
    <w:rsid w:val="2C4A7DAF"/>
    <w:rsid w:val="2C565EF7"/>
    <w:rsid w:val="2C5839EE"/>
    <w:rsid w:val="2C59674F"/>
    <w:rsid w:val="2C603821"/>
    <w:rsid w:val="2C61255B"/>
    <w:rsid w:val="2C63051D"/>
    <w:rsid w:val="2C640943"/>
    <w:rsid w:val="2C6F625B"/>
    <w:rsid w:val="2C7075CE"/>
    <w:rsid w:val="2C7566AC"/>
    <w:rsid w:val="2C76402F"/>
    <w:rsid w:val="2C7D2233"/>
    <w:rsid w:val="2C816B8F"/>
    <w:rsid w:val="2C840A82"/>
    <w:rsid w:val="2C842D93"/>
    <w:rsid w:val="2C866B0B"/>
    <w:rsid w:val="2C8A66F0"/>
    <w:rsid w:val="2C8E776E"/>
    <w:rsid w:val="2C8F4100"/>
    <w:rsid w:val="2C913A7A"/>
    <w:rsid w:val="2C9262C2"/>
    <w:rsid w:val="2C9C746F"/>
    <w:rsid w:val="2CA21583"/>
    <w:rsid w:val="2CA921F0"/>
    <w:rsid w:val="2CAA35DD"/>
    <w:rsid w:val="2CAB00D4"/>
    <w:rsid w:val="2CB0730C"/>
    <w:rsid w:val="2CB44551"/>
    <w:rsid w:val="2CC14184"/>
    <w:rsid w:val="2CC23670"/>
    <w:rsid w:val="2CC9541A"/>
    <w:rsid w:val="2CCC1F35"/>
    <w:rsid w:val="2CCC7FA1"/>
    <w:rsid w:val="2CCE3A15"/>
    <w:rsid w:val="2CD56018"/>
    <w:rsid w:val="2CD94E8D"/>
    <w:rsid w:val="2CDB7074"/>
    <w:rsid w:val="2CDD49F3"/>
    <w:rsid w:val="2CE4085E"/>
    <w:rsid w:val="2CE810CC"/>
    <w:rsid w:val="2CF374BE"/>
    <w:rsid w:val="2CF54BB5"/>
    <w:rsid w:val="2CF9108B"/>
    <w:rsid w:val="2CFB72FB"/>
    <w:rsid w:val="2D037D9A"/>
    <w:rsid w:val="2D05621B"/>
    <w:rsid w:val="2D076531"/>
    <w:rsid w:val="2D08358F"/>
    <w:rsid w:val="2D0A31BA"/>
    <w:rsid w:val="2D0A7CE8"/>
    <w:rsid w:val="2D154BD4"/>
    <w:rsid w:val="2D194486"/>
    <w:rsid w:val="2D1B5345"/>
    <w:rsid w:val="2D2277FB"/>
    <w:rsid w:val="2D2630A4"/>
    <w:rsid w:val="2D2D3F5C"/>
    <w:rsid w:val="2D2E216F"/>
    <w:rsid w:val="2D302AAE"/>
    <w:rsid w:val="2D331DD1"/>
    <w:rsid w:val="2D3736E1"/>
    <w:rsid w:val="2D3A58BA"/>
    <w:rsid w:val="2D3E3B3F"/>
    <w:rsid w:val="2D3F3CF2"/>
    <w:rsid w:val="2D3F5E21"/>
    <w:rsid w:val="2D465841"/>
    <w:rsid w:val="2D477F7E"/>
    <w:rsid w:val="2D4D20B3"/>
    <w:rsid w:val="2D50783D"/>
    <w:rsid w:val="2D512F89"/>
    <w:rsid w:val="2D515EB6"/>
    <w:rsid w:val="2D541842"/>
    <w:rsid w:val="2D5436DB"/>
    <w:rsid w:val="2D545D7C"/>
    <w:rsid w:val="2D58006F"/>
    <w:rsid w:val="2D593113"/>
    <w:rsid w:val="2D5960D1"/>
    <w:rsid w:val="2D601FE0"/>
    <w:rsid w:val="2D60569F"/>
    <w:rsid w:val="2D622708"/>
    <w:rsid w:val="2D686211"/>
    <w:rsid w:val="2D6A53F1"/>
    <w:rsid w:val="2D6B2297"/>
    <w:rsid w:val="2D6C04C6"/>
    <w:rsid w:val="2D7032DD"/>
    <w:rsid w:val="2D703782"/>
    <w:rsid w:val="2D7526B8"/>
    <w:rsid w:val="2D756BDF"/>
    <w:rsid w:val="2D7A1007"/>
    <w:rsid w:val="2D875A60"/>
    <w:rsid w:val="2D876AE7"/>
    <w:rsid w:val="2D882D6A"/>
    <w:rsid w:val="2D8D7A26"/>
    <w:rsid w:val="2D8F628C"/>
    <w:rsid w:val="2D914FC6"/>
    <w:rsid w:val="2D976571"/>
    <w:rsid w:val="2D9C4C49"/>
    <w:rsid w:val="2D9D7354"/>
    <w:rsid w:val="2D9D73F4"/>
    <w:rsid w:val="2D9E60BF"/>
    <w:rsid w:val="2DA517C6"/>
    <w:rsid w:val="2DA824A5"/>
    <w:rsid w:val="2DA90D03"/>
    <w:rsid w:val="2DB03D34"/>
    <w:rsid w:val="2DB03E8C"/>
    <w:rsid w:val="2DB03F35"/>
    <w:rsid w:val="2DB70E68"/>
    <w:rsid w:val="2DBE2C9A"/>
    <w:rsid w:val="2DBF68F0"/>
    <w:rsid w:val="2DC05B65"/>
    <w:rsid w:val="2DC67439"/>
    <w:rsid w:val="2DCA115B"/>
    <w:rsid w:val="2DCC28AE"/>
    <w:rsid w:val="2DCE04A2"/>
    <w:rsid w:val="2DD13151"/>
    <w:rsid w:val="2DD55C36"/>
    <w:rsid w:val="2DD86017"/>
    <w:rsid w:val="2DE73102"/>
    <w:rsid w:val="2DE75DBD"/>
    <w:rsid w:val="2DF11223"/>
    <w:rsid w:val="2DF37B28"/>
    <w:rsid w:val="2DFF2327"/>
    <w:rsid w:val="2E000578"/>
    <w:rsid w:val="2E067CB7"/>
    <w:rsid w:val="2E0917A2"/>
    <w:rsid w:val="2E0A5355"/>
    <w:rsid w:val="2E0C2E0B"/>
    <w:rsid w:val="2E0E5C68"/>
    <w:rsid w:val="2E0E6DB8"/>
    <w:rsid w:val="2E0F79FA"/>
    <w:rsid w:val="2E16125B"/>
    <w:rsid w:val="2E174D0C"/>
    <w:rsid w:val="2E1A76E3"/>
    <w:rsid w:val="2E1F0AEB"/>
    <w:rsid w:val="2E1F6F93"/>
    <w:rsid w:val="2E224D0C"/>
    <w:rsid w:val="2E2920DB"/>
    <w:rsid w:val="2E29234C"/>
    <w:rsid w:val="2E2A5EDF"/>
    <w:rsid w:val="2E35086E"/>
    <w:rsid w:val="2E357E6A"/>
    <w:rsid w:val="2E374436"/>
    <w:rsid w:val="2E39591B"/>
    <w:rsid w:val="2E3B4FE9"/>
    <w:rsid w:val="2E3B6D19"/>
    <w:rsid w:val="2E3F51C4"/>
    <w:rsid w:val="2E40325F"/>
    <w:rsid w:val="2E431BFE"/>
    <w:rsid w:val="2E432D06"/>
    <w:rsid w:val="2E4427DA"/>
    <w:rsid w:val="2E4A06AF"/>
    <w:rsid w:val="2E4C0730"/>
    <w:rsid w:val="2E4E1624"/>
    <w:rsid w:val="2E5347E1"/>
    <w:rsid w:val="2E571657"/>
    <w:rsid w:val="2E582394"/>
    <w:rsid w:val="2E590294"/>
    <w:rsid w:val="2E5E476E"/>
    <w:rsid w:val="2E6038D6"/>
    <w:rsid w:val="2E6277F6"/>
    <w:rsid w:val="2E653C3E"/>
    <w:rsid w:val="2E680742"/>
    <w:rsid w:val="2E724B17"/>
    <w:rsid w:val="2E763A81"/>
    <w:rsid w:val="2E766CE1"/>
    <w:rsid w:val="2E7A7B1C"/>
    <w:rsid w:val="2E800644"/>
    <w:rsid w:val="2E860C75"/>
    <w:rsid w:val="2E870919"/>
    <w:rsid w:val="2E897652"/>
    <w:rsid w:val="2E901B66"/>
    <w:rsid w:val="2E915C68"/>
    <w:rsid w:val="2E964A7B"/>
    <w:rsid w:val="2E965DB3"/>
    <w:rsid w:val="2E9D25C5"/>
    <w:rsid w:val="2E9F0141"/>
    <w:rsid w:val="2EA01271"/>
    <w:rsid w:val="2EA64F31"/>
    <w:rsid w:val="2EAD51E1"/>
    <w:rsid w:val="2EB26E03"/>
    <w:rsid w:val="2EB72FAC"/>
    <w:rsid w:val="2EB84E5D"/>
    <w:rsid w:val="2EB87ED2"/>
    <w:rsid w:val="2EBA3F37"/>
    <w:rsid w:val="2EBF7190"/>
    <w:rsid w:val="2ECB33A2"/>
    <w:rsid w:val="2ED3306C"/>
    <w:rsid w:val="2EDF2CF3"/>
    <w:rsid w:val="2EE02B5E"/>
    <w:rsid w:val="2EE34289"/>
    <w:rsid w:val="2EE96439"/>
    <w:rsid w:val="2EFB5FDF"/>
    <w:rsid w:val="2EFD147F"/>
    <w:rsid w:val="2F046C5A"/>
    <w:rsid w:val="2F063F34"/>
    <w:rsid w:val="2F13058B"/>
    <w:rsid w:val="2F14324A"/>
    <w:rsid w:val="2F1B11DE"/>
    <w:rsid w:val="2F1F0B51"/>
    <w:rsid w:val="2F1F4DAC"/>
    <w:rsid w:val="2F2355CD"/>
    <w:rsid w:val="2F236DA2"/>
    <w:rsid w:val="2F2641E5"/>
    <w:rsid w:val="2F2712B8"/>
    <w:rsid w:val="2F293712"/>
    <w:rsid w:val="2F294A1B"/>
    <w:rsid w:val="2F2C115F"/>
    <w:rsid w:val="2F2C2813"/>
    <w:rsid w:val="2F3A3E75"/>
    <w:rsid w:val="2F3F48B3"/>
    <w:rsid w:val="2F4028A9"/>
    <w:rsid w:val="2F423F7E"/>
    <w:rsid w:val="2F431C9A"/>
    <w:rsid w:val="2F445784"/>
    <w:rsid w:val="2F4C4F2D"/>
    <w:rsid w:val="2F4E5AA6"/>
    <w:rsid w:val="2F5051AF"/>
    <w:rsid w:val="2F5D5BB0"/>
    <w:rsid w:val="2F605157"/>
    <w:rsid w:val="2F633CB9"/>
    <w:rsid w:val="2F645253"/>
    <w:rsid w:val="2F653233"/>
    <w:rsid w:val="2F653E79"/>
    <w:rsid w:val="2F664947"/>
    <w:rsid w:val="2F68684D"/>
    <w:rsid w:val="2F6A2666"/>
    <w:rsid w:val="2F7112CC"/>
    <w:rsid w:val="2F780E2D"/>
    <w:rsid w:val="2F7C2C15"/>
    <w:rsid w:val="2F7F56A6"/>
    <w:rsid w:val="2F805BF7"/>
    <w:rsid w:val="2F8536FA"/>
    <w:rsid w:val="2F865D6B"/>
    <w:rsid w:val="2F9048C0"/>
    <w:rsid w:val="2FA80D0F"/>
    <w:rsid w:val="2FAD223D"/>
    <w:rsid w:val="2FB32D6D"/>
    <w:rsid w:val="2FB46AF1"/>
    <w:rsid w:val="2FB57A37"/>
    <w:rsid w:val="2FB602AB"/>
    <w:rsid w:val="2FBE702F"/>
    <w:rsid w:val="2FC04019"/>
    <w:rsid w:val="2FC27032"/>
    <w:rsid w:val="2FC3179E"/>
    <w:rsid w:val="2FC35AEA"/>
    <w:rsid w:val="2FC361A4"/>
    <w:rsid w:val="2FC42486"/>
    <w:rsid w:val="2FCA31B3"/>
    <w:rsid w:val="2FCB3C17"/>
    <w:rsid w:val="2FCE39D2"/>
    <w:rsid w:val="2FD33FAE"/>
    <w:rsid w:val="2FD76F7A"/>
    <w:rsid w:val="2FD900E4"/>
    <w:rsid w:val="2FDA31F9"/>
    <w:rsid w:val="2FE22FFB"/>
    <w:rsid w:val="2FE37C4C"/>
    <w:rsid w:val="2FE54072"/>
    <w:rsid w:val="2FE83CB3"/>
    <w:rsid w:val="2FEC4478"/>
    <w:rsid w:val="2FED1583"/>
    <w:rsid w:val="2FF7777C"/>
    <w:rsid w:val="2FFA4255"/>
    <w:rsid w:val="2FFB1668"/>
    <w:rsid w:val="2FFB1F03"/>
    <w:rsid w:val="30116E07"/>
    <w:rsid w:val="3012426D"/>
    <w:rsid w:val="301837D5"/>
    <w:rsid w:val="301A028F"/>
    <w:rsid w:val="30203C09"/>
    <w:rsid w:val="30207311"/>
    <w:rsid w:val="30251F95"/>
    <w:rsid w:val="3028176C"/>
    <w:rsid w:val="30283A50"/>
    <w:rsid w:val="302C3853"/>
    <w:rsid w:val="30312238"/>
    <w:rsid w:val="30314FE0"/>
    <w:rsid w:val="30333F46"/>
    <w:rsid w:val="30382C68"/>
    <w:rsid w:val="303C2843"/>
    <w:rsid w:val="30412328"/>
    <w:rsid w:val="30477FCA"/>
    <w:rsid w:val="30480D3E"/>
    <w:rsid w:val="304C48FA"/>
    <w:rsid w:val="304C5275"/>
    <w:rsid w:val="304D5781"/>
    <w:rsid w:val="30522140"/>
    <w:rsid w:val="30527160"/>
    <w:rsid w:val="30542A7D"/>
    <w:rsid w:val="30554FAA"/>
    <w:rsid w:val="305D0772"/>
    <w:rsid w:val="305E14E3"/>
    <w:rsid w:val="306478B2"/>
    <w:rsid w:val="30672E46"/>
    <w:rsid w:val="30682172"/>
    <w:rsid w:val="306A1B5D"/>
    <w:rsid w:val="306D452F"/>
    <w:rsid w:val="3070070C"/>
    <w:rsid w:val="30701F81"/>
    <w:rsid w:val="3072465C"/>
    <w:rsid w:val="30773A01"/>
    <w:rsid w:val="307A4C58"/>
    <w:rsid w:val="308F2AD2"/>
    <w:rsid w:val="30954E1B"/>
    <w:rsid w:val="309C212B"/>
    <w:rsid w:val="30A76A81"/>
    <w:rsid w:val="30A875F3"/>
    <w:rsid w:val="30AD793D"/>
    <w:rsid w:val="30AE72B8"/>
    <w:rsid w:val="30B13367"/>
    <w:rsid w:val="30B3328E"/>
    <w:rsid w:val="30B505FA"/>
    <w:rsid w:val="30B8368B"/>
    <w:rsid w:val="30BA3278"/>
    <w:rsid w:val="30BD0622"/>
    <w:rsid w:val="30BE4486"/>
    <w:rsid w:val="30BF439A"/>
    <w:rsid w:val="30C00BF9"/>
    <w:rsid w:val="30C53D7E"/>
    <w:rsid w:val="30C63E13"/>
    <w:rsid w:val="30CA082C"/>
    <w:rsid w:val="30CD5479"/>
    <w:rsid w:val="30CD7963"/>
    <w:rsid w:val="30CF3BAB"/>
    <w:rsid w:val="30D34C8A"/>
    <w:rsid w:val="30D40329"/>
    <w:rsid w:val="30D51E0F"/>
    <w:rsid w:val="30D70C4E"/>
    <w:rsid w:val="30D80766"/>
    <w:rsid w:val="30E07AE4"/>
    <w:rsid w:val="30E12D6D"/>
    <w:rsid w:val="30E5346A"/>
    <w:rsid w:val="30E71738"/>
    <w:rsid w:val="30EC346F"/>
    <w:rsid w:val="30EF07BE"/>
    <w:rsid w:val="30EF4827"/>
    <w:rsid w:val="30F0082B"/>
    <w:rsid w:val="30F07007"/>
    <w:rsid w:val="30F52A36"/>
    <w:rsid w:val="30F8598B"/>
    <w:rsid w:val="30FB7967"/>
    <w:rsid w:val="30FE201B"/>
    <w:rsid w:val="31046E1F"/>
    <w:rsid w:val="31054AE8"/>
    <w:rsid w:val="31064AF8"/>
    <w:rsid w:val="3107338F"/>
    <w:rsid w:val="310D672E"/>
    <w:rsid w:val="3113071B"/>
    <w:rsid w:val="31140527"/>
    <w:rsid w:val="311979E0"/>
    <w:rsid w:val="311A4ACC"/>
    <w:rsid w:val="311D3D37"/>
    <w:rsid w:val="31220B29"/>
    <w:rsid w:val="3124061B"/>
    <w:rsid w:val="31264273"/>
    <w:rsid w:val="312B37CC"/>
    <w:rsid w:val="312C1ED2"/>
    <w:rsid w:val="312D3E51"/>
    <w:rsid w:val="312F38AD"/>
    <w:rsid w:val="31387DCB"/>
    <w:rsid w:val="313B1D59"/>
    <w:rsid w:val="313E668D"/>
    <w:rsid w:val="313F2884"/>
    <w:rsid w:val="314129EB"/>
    <w:rsid w:val="3148438F"/>
    <w:rsid w:val="314937CF"/>
    <w:rsid w:val="314D03FA"/>
    <w:rsid w:val="31504E81"/>
    <w:rsid w:val="31551D6E"/>
    <w:rsid w:val="315745CC"/>
    <w:rsid w:val="31633614"/>
    <w:rsid w:val="31634076"/>
    <w:rsid w:val="3166315C"/>
    <w:rsid w:val="31680326"/>
    <w:rsid w:val="316867E0"/>
    <w:rsid w:val="31696718"/>
    <w:rsid w:val="316B52EB"/>
    <w:rsid w:val="316C40D1"/>
    <w:rsid w:val="316E64B9"/>
    <w:rsid w:val="31752384"/>
    <w:rsid w:val="3176253B"/>
    <w:rsid w:val="31777DF7"/>
    <w:rsid w:val="31787222"/>
    <w:rsid w:val="317C6A60"/>
    <w:rsid w:val="317C6AEF"/>
    <w:rsid w:val="317F0CC3"/>
    <w:rsid w:val="3184428B"/>
    <w:rsid w:val="31874B35"/>
    <w:rsid w:val="318B4B2C"/>
    <w:rsid w:val="318C5A79"/>
    <w:rsid w:val="318D3046"/>
    <w:rsid w:val="318E3E1F"/>
    <w:rsid w:val="319278E9"/>
    <w:rsid w:val="319359DA"/>
    <w:rsid w:val="31936F44"/>
    <w:rsid w:val="319405C2"/>
    <w:rsid w:val="319469F6"/>
    <w:rsid w:val="3196774A"/>
    <w:rsid w:val="319820EE"/>
    <w:rsid w:val="31985D97"/>
    <w:rsid w:val="31A2199C"/>
    <w:rsid w:val="31A57D34"/>
    <w:rsid w:val="31A60854"/>
    <w:rsid w:val="31A81E77"/>
    <w:rsid w:val="31A907DF"/>
    <w:rsid w:val="31AA191E"/>
    <w:rsid w:val="31AD52D1"/>
    <w:rsid w:val="31B3018C"/>
    <w:rsid w:val="31B40132"/>
    <w:rsid w:val="31B974BD"/>
    <w:rsid w:val="31BA0B2E"/>
    <w:rsid w:val="31C00D10"/>
    <w:rsid w:val="31C112E3"/>
    <w:rsid w:val="31C15334"/>
    <w:rsid w:val="31C259C4"/>
    <w:rsid w:val="31C33347"/>
    <w:rsid w:val="31CB7DCA"/>
    <w:rsid w:val="31D245A1"/>
    <w:rsid w:val="31D65E3F"/>
    <w:rsid w:val="31D80903"/>
    <w:rsid w:val="31DE62CC"/>
    <w:rsid w:val="31E76135"/>
    <w:rsid w:val="31E76A68"/>
    <w:rsid w:val="31E92AFA"/>
    <w:rsid w:val="31EF1FAE"/>
    <w:rsid w:val="31F042B0"/>
    <w:rsid w:val="31F21005"/>
    <w:rsid w:val="31F22842"/>
    <w:rsid w:val="31F3678D"/>
    <w:rsid w:val="31F47701"/>
    <w:rsid w:val="31F57864"/>
    <w:rsid w:val="31F618C7"/>
    <w:rsid w:val="31F73735"/>
    <w:rsid w:val="31F75FEC"/>
    <w:rsid w:val="31FA4E9D"/>
    <w:rsid w:val="32004B7D"/>
    <w:rsid w:val="32026C34"/>
    <w:rsid w:val="32067CAE"/>
    <w:rsid w:val="32085429"/>
    <w:rsid w:val="321C056D"/>
    <w:rsid w:val="321F7816"/>
    <w:rsid w:val="32274B6B"/>
    <w:rsid w:val="3228734E"/>
    <w:rsid w:val="322D2745"/>
    <w:rsid w:val="322E3508"/>
    <w:rsid w:val="322E54F0"/>
    <w:rsid w:val="322E6DA5"/>
    <w:rsid w:val="32367D61"/>
    <w:rsid w:val="323A1D75"/>
    <w:rsid w:val="323A6FCB"/>
    <w:rsid w:val="323A7947"/>
    <w:rsid w:val="323B0398"/>
    <w:rsid w:val="323D1ACE"/>
    <w:rsid w:val="323F1C36"/>
    <w:rsid w:val="3241054F"/>
    <w:rsid w:val="324145E4"/>
    <w:rsid w:val="324628FF"/>
    <w:rsid w:val="32465C89"/>
    <w:rsid w:val="324747B1"/>
    <w:rsid w:val="32482641"/>
    <w:rsid w:val="324A20F6"/>
    <w:rsid w:val="324B4E10"/>
    <w:rsid w:val="324B59B6"/>
    <w:rsid w:val="32534D2A"/>
    <w:rsid w:val="325771A7"/>
    <w:rsid w:val="32577DF1"/>
    <w:rsid w:val="325818EC"/>
    <w:rsid w:val="3259147C"/>
    <w:rsid w:val="325A61D1"/>
    <w:rsid w:val="325E7BE3"/>
    <w:rsid w:val="32604C65"/>
    <w:rsid w:val="3264524B"/>
    <w:rsid w:val="326B77C0"/>
    <w:rsid w:val="32700A72"/>
    <w:rsid w:val="32713ED4"/>
    <w:rsid w:val="327212FA"/>
    <w:rsid w:val="32726075"/>
    <w:rsid w:val="327A5A41"/>
    <w:rsid w:val="327B3CC2"/>
    <w:rsid w:val="32834F4F"/>
    <w:rsid w:val="32843903"/>
    <w:rsid w:val="328943C6"/>
    <w:rsid w:val="328F3AD1"/>
    <w:rsid w:val="32902B45"/>
    <w:rsid w:val="329358C1"/>
    <w:rsid w:val="329431FD"/>
    <w:rsid w:val="329731A6"/>
    <w:rsid w:val="329B4BEE"/>
    <w:rsid w:val="329C56E9"/>
    <w:rsid w:val="329D54BD"/>
    <w:rsid w:val="32A15DB9"/>
    <w:rsid w:val="32A5265E"/>
    <w:rsid w:val="32A5710B"/>
    <w:rsid w:val="32A67A55"/>
    <w:rsid w:val="32AA31A1"/>
    <w:rsid w:val="32AB62B4"/>
    <w:rsid w:val="32B03538"/>
    <w:rsid w:val="32B04E0F"/>
    <w:rsid w:val="32B2716B"/>
    <w:rsid w:val="32B405F1"/>
    <w:rsid w:val="32B57D3A"/>
    <w:rsid w:val="32B703D1"/>
    <w:rsid w:val="32B92FCA"/>
    <w:rsid w:val="32BE1F64"/>
    <w:rsid w:val="32CE505D"/>
    <w:rsid w:val="32CE6988"/>
    <w:rsid w:val="32D541B2"/>
    <w:rsid w:val="32DA5FC1"/>
    <w:rsid w:val="32E22558"/>
    <w:rsid w:val="32E77BD8"/>
    <w:rsid w:val="32E93950"/>
    <w:rsid w:val="32ED39A0"/>
    <w:rsid w:val="32EF41A7"/>
    <w:rsid w:val="32EF4B97"/>
    <w:rsid w:val="32F16F1B"/>
    <w:rsid w:val="32FA2D4E"/>
    <w:rsid w:val="32FB1F96"/>
    <w:rsid w:val="32FE72F6"/>
    <w:rsid w:val="32FF13C6"/>
    <w:rsid w:val="330B04CA"/>
    <w:rsid w:val="330C1C08"/>
    <w:rsid w:val="330C775C"/>
    <w:rsid w:val="330E133B"/>
    <w:rsid w:val="33134656"/>
    <w:rsid w:val="331C2CED"/>
    <w:rsid w:val="332840C2"/>
    <w:rsid w:val="33322DB0"/>
    <w:rsid w:val="333A6F43"/>
    <w:rsid w:val="333E1EEE"/>
    <w:rsid w:val="33422A36"/>
    <w:rsid w:val="33457F09"/>
    <w:rsid w:val="33471381"/>
    <w:rsid w:val="33483B28"/>
    <w:rsid w:val="334A35F8"/>
    <w:rsid w:val="334E597D"/>
    <w:rsid w:val="33504DFD"/>
    <w:rsid w:val="335A772B"/>
    <w:rsid w:val="335D0F63"/>
    <w:rsid w:val="335D3E30"/>
    <w:rsid w:val="33610C4B"/>
    <w:rsid w:val="336938C3"/>
    <w:rsid w:val="336B1457"/>
    <w:rsid w:val="33715627"/>
    <w:rsid w:val="33737745"/>
    <w:rsid w:val="337659FC"/>
    <w:rsid w:val="33791797"/>
    <w:rsid w:val="3381680B"/>
    <w:rsid w:val="338350F3"/>
    <w:rsid w:val="338C0BF9"/>
    <w:rsid w:val="338F3E64"/>
    <w:rsid w:val="3392494D"/>
    <w:rsid w:val="33980AE1"/>
    <w:rsid w:val="33997124"/>
    <w:rsid w:val="339E066D"/>
    <w:rsid w:val="339F696C"/>
    <w:rsid w:val="33A21A8F"/>
    <w:rsid w:val="33A9353C"/>
    <w:rsid w:val="33AF4F89"/>
    <w:rsid w:val="33C5020A"/>
    <w:rsid w:val="33C543BD"/>
    <w:rsid w:val="33CB1F65"/>
    <w:rsid w:val="33CC037A"/>
    <w:rsid w:val="33D02ECA"/>
    <w:rsid w:val="33E001FD"/>
    <w:rsid w:val="33E505BB"/>
    <w:rsid w:val="33E618C6"/>
    <w:rsid w:val="33E65933"/>
    <w:rsid w:val="33E86556"/>
    <w:rsid w:val="33EA7647"/>
    <w:rsid w:val="33F67DCB"/>
    <w:rsid w:val="33F82099"/>
    <w:rsid w:val="33F82C7A"/>
    <w:rsid w:val="33FD662B"/>
    <w:rsid w:val="34034EE6"/>
    <w:rsid w:val="34037F39"/>
    <w:rsid w:val="340B6BC2"/>
    <w:rsid w:val="3412473F"/>
    <w:rsid w:val="341827D7"/>
    <w:rsid w:val="342D1A1E"/>
    <w:rsid w:val="342D52C1"/>
    <w:rsid w:val="342F4E22"/>
    <w:rsid w:val="343474BD"/>
    <w:rsid w:val="343D67B3"/>
    <w:rsid w:val="34402DE9"/>
    <w:rsid w:val="34411CBD"/>
    <w:rsid w:val="34415910"/>
    <w:rsid w:val="34445794"/>
    <w:rsid w:val="344D4AAE"/>
    <w:rsid w:val="34570170"/>
    <w:rsid w:val="34583337"/>
    <w:rsid w:val="345A38BC"/>
    <w:rsid w:val="346A4E18"/>
    <w:rsid w:val="346A60F0"/>
    <w:rsid w:val="346E59A3"/>
    <w:rsid w:val="34720F59"/>
    <w:rsid w:val="347718E1"/>
    <w:rsid w:val="34781430"/>
    <w:rsid w:val="347B36E9"/>
    <w:rsid w:val="34825E0A"/>
    <w:rsid w:val="348576A9"/>
    <w:rsid w:val="3488083D"/>
    <w:rsid w:val="348A791E"/>
    <w:rsid w:val="348C69D8"/>
    <w:rsid w:val="348C77B6"/>
    <w:rsid w:val="34943474"/>
    <w:rsid w:val="349460E7"/>
    <w:rsid w:val="34972873"/>
    <w:rsid w:val="34975A89"/>
    <w:rsid w:val="34A970B6"/>
    <w:rsid w:val="34AA0B68"/>
    <w:rsid w:val="34AB0057"/>
    <w:rsid w:val="34B06080"/>
    <w:rsid w:val="34B47451"/>
    <w:rsid w:val="34B54432"/>
    <w:rsid w:val="34BE5A6B"/>
    <w:rsid w:val="34C223B4"/>
    <w:rsid w:val="34C31BD3"/>
    <w:rsid w:val="34CA04F0"/>
    <w:rsid w:val="34CA22E0"/>
    <w:rsid w:val="34D811A7"/>
    <w:rsid w:val="34DA54A0"/>
    <w:rsid w:val="34DC0AF6"/>
    <w:rsid w:val="34E21569"/>
    <w:rsid w:val="34E36ACC"/>
    <w:rsid w:val="34E45E57"/>
    <w:rsid w:val="34E71F01"/>
    <w:rsid w:val="34E94628"/>
    <w:rsid w:val="34E95AA6"/>
    <w:rsid w:val="34F21D62"/>
    <w:rsid w:val="34F34A39"/>
    <w:rsid w:val="34F569D2"/>
    <w:rsid w:val="34F75911"/>
    <w:rsid w:val="34F82570"/>
    <w:rsid w:val="35011F2C"/>
    <w:rsid w:val="35023CF2"/>
    <w:rsid w:val="350A6B0D"/>
    <w:rsid w:val="350B7BC7"/>
    <w:rsid w:val="350D2E90"/>
    <w:rsid w:val="351856D8"/>
    <w:rsid w:val="351F6046"/>
    <w:rsid w:val="3523795C"/>
    <w:rsid w:val="35256B80"/>
    <w:rsid w:val="352767DE"/>
    <w:rsid w:val="352A605E"/>
    <w:rsid w:val="352B16DE"/>
    <w:rsid w:val="352F69C5"/>
    <w:rsid w:val="35320FA2"/>
    <w:rsid w:val="3536632A"/>
    <w:rsid w:val="35377E25"/>
    <w:rsid w:val="353A4C77"/>
    <w:rsid w:val="35426ADB"/>
    <w:rsid w:val="354B38C4"/>
    <w:rsid w:val="354C750D"/>
    <w:rsid w:val="3556018A"/>
    <w:rsid w:val="355619A9"/>
    <w:rsid w:val="355A6D87"/>
    <w:rsid w:val="355F3FF0"/>
    <w:rsid w:val="355F6B9E"/>
    <w:rsid w:val="35626803"/>
    <w:rsid w:val="356274A7"/>
    <w:rsid w:val="356424D6"/>
    <w:rsid w:val="356977FD"/>
    <w:rsid w:val="356B3C28"/>
    <w:rsid w:val="35733A52"/>
    <w:rsid w:val="357B6023"/>
    <w:rsid w:val="35801FC5"/>
    <w:rsid w:val="358076BB"/>
    <w:rsid w:val="35820F17"/>
    <w:rsid w:val="3583711A"/>
    <w:rsid w:val="358705AC"/>
    <w:rsid w:val="358A7479"/>
    <w:rsid w:val="358D0F0B"/>
    <w:rsid w:val="35966A2E"/>
    <w:rsid w:val="359B15E8"/>
    <w:rsid w:val="35A9585D"/>
    <w:rsid w:val="35BC2D35"/>
    <w:rsid w:val="35BC68A9"/>
    <w:rsid w:val="35C32CFF"/>
    <w:rsid w:val="35C42171"/>
    <w:rsid w:val="35C7167F"/>
    <w:rsid w:val="35CB37E1"/>
    <w:rsid w:val="35CB761A"/>
    <w:rsid w:val="35D01240"/>
    <w:rsid w:val="35D54660"/>
    <w:rsid w:val="35D54972"/>
    <w:rsid w:val="35D91051"/>
    <w:rsid w:val="35D9551E"/>
    <w:rsid w:val="35DC76D4"/>
    <w:rsid w:val="35DD26DA"/>
    <w:rsid w:val="35E12F66"/>
    <w:rsid w:val="35E573EA"/>
    <w:rsid w:val="35ED7F32"/>
    <w:rsid w:val="35EF0CE5"/>
    <w:rsid w:val="35F520DC"/>
    <w:rsid w:val="35F60B11"/>
    <w:rsid w:val="35FE3082"/>
    <w:rsid w:val="360915CF"/>
    <w:rsid w:val="360A7890"/>
    <w:rsid w:val="360E1601"/>
    <w:rsid w:val="36116DA1"/>
    <w:rsid w:val="361325BA"/>
    <w:rsid w:val="3613492D"/>
    <w:rsid w:val="36141BFA"/>
    <w:rsid w:val="36147CE4"/>
    <w:rsid w:val="361909F0"/>
    <w:rsid w:val="361C611C"/>
    <w:rsid w:val="362022BB"/>
    <w:rsid w:val="362440DA"/>
    <w:rsid w:val="36266433"/>
    <w:rsid w:val="36275F7E"/>
    <w:rsid w:val="362A0508"/>
    <w:rsid w:val="362B5FE2"/>
    <w:rsid w:val="363007D2"/>
    <w:rsid w:val="36342726"/>
    <w:rsid w:val="36387CFE"/>
    <w:rsid w:val="363C7B17"/>
    <w:rsid w:val="363E0D0C"/>
    <w:rsid w:val="364276D2"/>
    <w:rsid w:val="36453E38"/>
    <w:rsid w:val="364942B6"/>
    <w:rsid w:val="364D3B88"/>
    <w:rsid w:val="364E61ED"/>
    <w:rsid w:val="364F1C4D"/>
    <w:rsid w:val="365259B5"/>
    <w:rsid w:val="365B52C8"/>
    <w:rsid w:val="36672B6F"/>
    <w:rsid w:val="366D3294"/>
    <w:rsid w:val="367307F1"/>
    <w:rsid w:val="36731C78"/>
    <w:rsid w:val="367A1022"/>
    <w:rsid w:val="367B41C1"/>
    <w:rsid w:val="367C6359"/>
    <w:rsid w:val="367D3EDE"/>
    <w:rsid w:val="36854CDC"/>
    <w:rsid w:val="3687381B"/>
    <w:rsid w:val="368F3978"/>
    <w:rsid w:val="369469D2"/>
    <w:rsid w:val="3694747A"/>
    <w:rsid w:val="36952DEF"/>
    <w:rsid w:val="36983FA8"/>
    <w:rsid w:val="369B5459"/>
    <w:rsid w:val="36A14AFF"/>
    <w:rsid w:val="36A32E4A"/>
    <w:rsid w:val="36A4475E"/>
    <w:rsid w:val="36B042E7"/>
    <w:rsid w:val="36B14235"/>
    <w:rsid w:val="36BA240E"/>
    <w:rsid w:val="36C54380"/>
    <w:rsid w:val="36C56F65"/>
    <w:rsid w:val="36C70C17"/>
    <w:rsid w:val="36C72F4C"/>
    <w:rsid w:val="36CB4F42"/>
    <w:rsid w:val="36D1012C"/>
    <w:rsid w:val="36D30B9F"/>
    <w:rsid w:val="36D668E1"/>
    <w:rsid w:val="36D90A83"/>
    <w:rsid w:val="36D90B3E"/>
    <w:rsid w:val="36DA1F9A"/>
    <w:rsid w:val="36DC3AA5"/>
    <w:rsid w:val="36E34AAB"/>
    <w:rsid w:val="36E366D6"/>
    <w:rsid w:val="36E464A6"/>
    <w:rsid w:val="36E96615"/>
    <w:rsid w:val="36F65BC6"/>
    <w:rsid w:val="36FF1E42"/>
    <w:rsid w:val="37013623"/>
    <w:rsid w:val="37020713"/>
    <w:rsid w:val="37040E28"/>
    <w:rsid w:val="370451FC"/>
    <w:rsid w:val="37081C3C"/>
    <w:rsid w:val="370B293A"/>
    <w:rsid w:val="370E1CE3"/>
    <w:rsid w:val="37142A43"/>
    <w:rsid w:val="37160A8C"/>
    <w:rsid w:val="37164F30"/>
    <w:rsid w:val="372058D3"/>
    <w:rsid w:val="37212650"/>
    <w:rsid w:val="3721695C"/>
    <w:rsid w:val="372E73EE"/>
    <w:rsid w:val="373401BD"/>
    <w:rsid w:val="373C3370"/>
    <w:rsid w:val="373F073B"/>
    <w:rsid w:val="37404A57"/>
    <w:rsid w:val="37421881"/>
    <w:rsid w:val="374812B1"/>
    <w:rsid w:val="374A631F"/>
    <w:rsid w:val="37502EB7"/>
    <w:rsid w:val="37503421"/>
    <w:rsid w:val="3757733F"/>
    <w:rsid w:val="375960E9"/>
    <w:rsid w:val="375A1C2F"/>
    <w:rsid w:val="375D490D"/>
    <w:rsid w:val="37623A4A"/>
    <w:rsid w:val="376416CC"/>
    <w:rsid w:val="37660E21"/>
    <w:rsid w:val="376637C1"/>
    <w:rsid w:val="37695060"/>
    <w:rsid w:val="376D1545"/>
    <w:rsid w:val="376E4136"/>
    <w:rsid w:val="37704307"/>
    <w:rsid w:val="37732734"/>
    <w:rsid w:val="3774532A"/>
    <w:rsid w:val="377B56C6"/>
    <w:rsid w:val="377C30F9"/>
    <w:rsid w:val="377E2FA4"/>
    <w:rsid w:val="377F5168"/>
    <w:rsid w:val="37846BA6"/>
    <w:rsid w:val="37863177"/>
    <w:rsid w:val="378C065F"/>
    <w:rsid w:val="378E2DB1"/>
    <w:rsid w:val="379022A6"/>
    <w:rsid w:val="37920840"/>
    <w:rsid w:val="37920886"/>
    <w:rsid w:val="379320DC"/>
    <w:rsid w:val="3798778D"/>
    <w:rsid w:val="379C3153"/>
    <w:rsid w:val="379D4A03"/>
    <w:rsid w:val="37A20571"/>
    <w:rsid w:val="37A21BF6"/>
    <w:rsid w:val="37A771A5"/>
    <w:rsid w:val="37B02635"/>
    <w:rsid w:val="37B434F9"/>
    <w:rsid w:val="37B76DA8"/>
    <w:rsid w:val="37C73012"/>
    <w:rsid w:val="37CD5EFE"/>
    <w:rsid w:val="37D22CF4"/>
    <w:rsid w:val="37D90763"/>
    <w:rsid w:val="37D95846"/>
    <w:rsid w:val="37DF0F99"/>
    <w:rsid w:val="37DF6F88"/>
    <w:rsid w:val="37E203A9"/>
    <w:rsid w:val="37E67AED"/>
    <w:rsid w:val="37EA386E"/>
    <w:rsid w:val="37EA7CAF"/>
    <w:rsid w:val="37FB5F09"/>
    <w:rsid w:val="37FD57B3"/>
    <w:rsid w:val="38032788"/>
    <w:rsid w:val="38043A72"/>
    <w:rsid w:val="380B0A93"/>
    <w:rsid w:val="380D449A"/>
    <w:rsid w:val="380F19A2"/>
    <w:rsid w:val="38121C48"/>
    <w:rsid w:val="381A210D"/>
    <w:rsid w:val="381B6272"/>
    <w:rsid w:val="381C3B02"/>
    <w:rsid w:val="381D3214"/>
    <w:rsid w:val="381F4306"/>
    <w:rsid w:val="38275DC5"/>
    <w:rsid w:val="3834263B"/>
    <w:rsid w:val="383C10FB"/>
    <w:rsid w:val="383E2CDC"/>
    <w:rsid w:val="383F4DAB"/>
    <w:rsid w:val="38405875"/>
    <w:rsid w:val="384276F7"/>
    <w:rsid w:val="38463435"/>
    <w:rsid w:val="384A5E79"/>
    <w:rsid w:val="384B7FAE"/>
    <w:rsid w:val="384C6C8B"/>
    <w:rsid w:val="384F22DE"/>
    <w:rsid w:val="38501A2C"/>
    <w:rsid w:val="385D3BEB"/>
    <w:rsid w:val="38610460"/>
    <w:rsid w:val="386249EE"/>
    <w:rsid w:val="38646A24"/>
    <w:rsid w:val="38647529"/>
    <w:rsid w:val="386A3AAB"/>
    <w:rsid w:val="387532F0"/>
    <w:rsid w:val="38781CD6"/>
    <w:rsid w:val="387A62A2"/>
    <w:rsid w:val="38820DAF"/>
    <w:rsid w:val="388233EE"/>
    <w:rsid w:val="38826F54"/>
    <w:rsid w:val="3888213D"/>
    <w:rsid w:val="388B5133"/>
    <w:rsid w:val="388D16D4"/>
    <w:rsid w:val="388F7CD5"/>
    <w:rsid w:val="38A12F53"/>
    <w:rsid w:val="38A27621"/>
    <w:rsid w:val="38A47F65"/>
    <w:rsid w:val="38A6393F"/>
    <w:rsid w:val="38AD61C9"/>
    <w:rsid w:val="38AE6D9F"/>
    <w:rsid w:val="38AF14AB"/>
    <w:rsid w:val="38AF3382"/>
    <w:rsid w:val="38B138F0"/>
    <w:rsid w:val="38B13DED"/>
    <w:rsid w:val="38B34438"/>
    <w:rsid w:val="38B35E29"/>
    <w:rsid w:val="38B508C7"/>
    <w:rsid w:val="38B85B07"/>
    <w:rsid w:val="38BC1957"/>
    <w:rsid w:val="38BE1037"/>
    <w:rsid w:val="38C50DB0"/>
    <w:rsid w:val="38C9717A"/>
    <w:rsid w:val="38CA4224"/>
    <w:rsid w:val="38CD6685"/>
    <w:rsid w:val="38CE089B"/>
    <w:rsid w:val="38CF7ADF"/>
    <w:rsid w:val="38D21E80"/>
    <w:rsid w:val="38D378FC"/>
    <w:rsid w:val="38D46E50"/>
    <w:rsid w:val="38D538FD"/>
    <w:rsid w:val="38D5685D"/>
    <w:rsid w:val="38D81D38"/>
    <w:rsid w:val="38E12EC2"/>
    <w:rsid w:val="38E60BC0"/>
    <w:rsid w:val="38E946AA"/>
    <w:rsid w:val="38EF3C8F"/>
    <w:rsid w:val="38F737CF"/>
    <w:rsid w:val="3905461D"/>
    <w:rsid w:val="39075420"/>
    <w:rsid w:val="390A4620"/>
    <w:rsid w:val="390A4D71"/>
    <w:rsid w:val="390B4987"/>
    <w:rsid w:val="390F6B28"/>
    <w:rsid w:val="39113EF0"/>
    <w:rsid w:val="39132013"/>
    <w:rsid w:val="39152D7C"/>
    <w:rsid w:val="39163DEB"/>
    <w:rsid w:val="39184C8C"/>
    <w:rsid w:val="391963BB"/>
    <w:rsid w:val="391C51AA"/>
    <w:rsid w:val="39213094"/>
    <w:rsid w:val="392438E4"/>
    <w:rsid w:val="39254F78"/>
    <w:rsid w:val="392C1EA3"/>
    <w:rsid w:val="39317DA0"/>
    <w:rsid w:val="39331E9C"/>
    <w:rsid w:val="393345DC"/>
    <w:rsid w:val="39335C34"/>
    <w:rsid w:val="3936088D"/>
    <w:rsid w:val="39383753"/>
    <w:rsid w:val="393D480A"/>
    <w:rsid w:val="393F076E"/>
    <w:rsid w:val="393F4198"/>
    <w:rsid w:val="394011CF"/>
    <w:rsid w:val="39457922"/>
    <w:rsid w:val="39464A41"/>
    <w:rsid w:val="39487918"/>
    <w:rsid w:val="394B3603"/>
    <w:rsid w:val="394D5B38"/>
    <w:rsid w:val="395B3F93"/>
    <w:rsid w:val="396F45D5"/>
    <w:rsid w:val="397228F1"/>
    <w:rsid w:val="39766323"/>
    <w:rsid w:val="397A482B"/>
    <w:rsid w:val="397E0349"/>
    <w:rsid w:val="397E2B84"/>
    <w:rsid w:val="397F7213"/>
    <w:rsid w:val="398677E8"/>
    <w:rsid w:val="39872FBB"/>
    <w:rsid w:val="39883FFA"/>
    <w:rsid w:val="398B0A76"/>
    <w:rsid w:val="398F5011"/>
    <w:rsid w:val="399171AF"/>
    <w:rsid w:val="39926912"/>
    <w:rsid w:val="399431C3"/>
    <w:rsid w:val="39971EDA"/>
    <w:rsid w:val="39977D0D"/>
    <w:rsid w:val="399860C7"/>
    <w:rsid w:val="399A7304"/>
    <w:rsid w:val="399D1D44"/>
    <w:rsid w:val="399E2D14"/>
    <w:rsid w:val="399F7577"/>
    <w:rsid w:val="39A0424E"/>
    <w:rsid w:val="39A04C8F"/>
    <w:rsid w:val="39A14F85"/>
    <w:rsid w:val="39A15434"/>
    <w:rsid w:val="39A35865"/>
    <w:rsid w:val="39A63A9E"/>
    <w:rsid w:val="39A73126"/>
    <w:rsid w:val="39A74D4D"/>
    <w:rsid w:val="39AC76EA"/>
    <w:rsid w:val="39AD5707"/>
    <w:rsid w:val="39B527DE"/>
    <w:rsid w:val="39B82322"/>
    <w:rsid w:val="39B8262D"/>
    <w:rsid w:val="39C8011B"/>
    <w:rsid w:val="39C94115"/>
    <w:rsid w:val="39C94855"/>
    <w:rsid w:val="39DD2E0B"/>
    <w:rsid w:val="39DE0BE3"/>
    <w:rsid w:val="39DF1F11"/>
    <w:rsid w:val="39EA6F46"/>
    <w:rsid w:val="39EE5CF0"/>
    <w:rsid w:val="39FE3284"/>
    <w:rsid w:val="3A0478A0"/>
    <w:rsid w:val="3A065052"/>
    <w:rsid w:val="3A0E035F"/>
    <w:rsid w:val="3A0E5509"/>
    <w:rsid w:val="3A1106F6"/>
    <w:rsid w:val="3A141B88"/>
    <w:rsid w:val="3A1B2083"/>
    <w:rsid w:val="3A213BED"/>
    <w:rsid w:val="3A216EEF"/>
    <w:rsid w:val="3A245A3F"/>
    <w:rsid w:val="3A287948"/>
    <w:rsid w:val="3A2A75A6"/>
    <w:rsid w:val="3A2E69E9"/>
    <w:rsid w:val="3A310694"/>
    <w:rsid w:val="3A32129C"/>
    <w:rsid w:val="3A35568A"/>
    <w:rsid w:val="3A392160"/>
    <w:rsid w:val="3A3C0EF2"/>
    <w:rsid w:val="3A3C4A55"/>
    <w:rsid w:val="3A440DFB"/>
    <w:rsid w:val="3A45386B"/>
    <w:rsid w:val="3A596A74"/>
    <w:rsid w:val="3A5C614B"/>
    <w:rsid w:val="3A6440F4"/>
    <w:rsid w:val="3A69604D"/>
    <w:rsid w:val="3A735502"/>
    <w:rsid w:val="3A7F5819"/>
    <w:rsid w:val="3A800536"/>
    <w:rsid w:val="3A825315"/>
    <w:rsid w:val="3A830B2E"/>
    <w:rsid w:val="3A834747"/>
    <w:rsid w:val="3A8579C9"/>
    <w:rsid w:val="3A8A0F81"/>
    <w:rsid w:val="3A925A7B"/>
    <w:rsid w:val="3A987463"/>
    <w:rsid w:val="3A9E5D30"/>
    <w:rsid w:val="3A9F1C32"/>
    <w:rsid w:val="3A9F2CE8"/>
    <w:rsid w:val="3AA26376"/>
    <w:rsid w:val="3AA53E7E"/>
    <w:rsid w:val="3AAE174F"/>
    <w:rsid w:val="3AAF0323"/>
    <w:rsid w:val="3AB3256D"/>
    <w:rsid w:val="3AB41613"/>
    <w:rsid w:val="3AB50B6F"/>
    <w:rsid w:val="3ABB54EC"/>
    <w:rsid w:val="3ABD23FD"/>
    <w:rsid w:val="3ABE6614"/>
    <w:rsid w:val="3AC47B24"/>
    <w:rsid w:val="3AC57509"/>
    <w:rsid w:val="3AC6182D"/>
    <w:rsid w:val="3AC8711A"/>
    <w:rsid w:val="3ACA3BB0"/>
    <w:rsid w:val="3ACF3A9B"/>
    <w:rsid w:val="3ACF7AB3"/>
    <w:rsid w:val="3AD35D0C"/>
    <w:rsid w:val="3AD60280"/>
    <w:rsid w:val="3AD65755"/>
    <w:rsid w:val="3ADE7A97"/>
    <w:rsid w:val="3AE322A0"/>
    <w:rsid w:val="3AEE017D"/>
    <w:rsid w:val="3AF1311B"/>
    <w:rsid w:val="3AF50A48"/>
    <w:rsid w:val="3AF60F8D"/>
    <w:rsid w:val="3AFE64E6"/>
    <w:rsid w:val="3B033AA0"/>
    <w:rsid w:val="3B0C495F"/>
    <w:rsid w:val="3B1060CE"/>
    <w:rsid w:val="3B116B9C"/>
    <w:rsid w:val="3B142696"/>
    <w:rsid w:val="3B18760B"/>
    <w:rsid w:val="3B1A5BF3"/>
    <w:rsid w:val="3B232A35"/>
    <w:rsid w:val="3B236BE2"/>
    <w:rsid w:val="3B286E78"/>
    <w:rsid w:val="3B3429FE"/>
    <w:rsid w:val="3B372224"/>
    <w:rsid w:val="3B3911ED"/>
    <w:rsid w:val="3B3B6CB7"/>
    <w:rsid w:val="3B4105FA"/>
    <w:rsid w:val="3B4320F5"/>
    <w:rsid w:val="3B4C0B9C"/>
    <w:rsid w:val="3B4C649F"/>
    <w:rsid w:val="3B4D6ACF"/>
    <w:rsid w:val="3B5362F9"/>
    <w:rsid w:val="3B541FB9"/>
    <w:rsid w:val="3B5767FE"/>
    <w:rsid w:val="3B5B27A6"/>
    <w:rsid w:val="3B5B5CF0"/>
    <w:rsid w:val="3B635974"/>
    <w:rsid w:val="3B6D35F4"/>
    <w:rsid w:val="3B6E692E"/>
    <w:rsid w:val="3B780263"/>
    <w:rsid w:val="3B7D1E38"/>
    <w:rsid w:val="3B7E72F0"/>
    <w:rsid w:val="3B804CE5"/>
    <w:rsid w:val="3B811806"/>
    <w:rsid w:val="3B81539E"/>
    <w:rsid w:val="3B886913"/>
    <w:rsid w:val="3B8A251E"/>
    <w:rsid w:val="3B915A32"/>
    <w:rsid w:val="3B923776"/>
    <w:rsid w:val="3B970BC6"/>
    <w:rsid w:val="3B9A383D"/>
    <w:rsid w:val="3B9C3F84"/>
    <w:rsid w:val="3BA34A38"/>
    <w:rsid w:val="3BA406F7"/>
    <w:rsid w:val="3BA54F06"/>
    <w:rsid w:val="3BA801A0"/>
    <w:rsid w:val="3BAA3797"/>
    <w:rsid w:val="3BAC7252"/>
    <w:rsid w:val="3BB6570E"/>
    <w:rsid w:val="3BB87B23"/>
    <w:rsid w:val="3BB92AAA"/>
    <w:rsid w:val="3BC1546A"/>
    <w:rsid w:val="3BC5634E"/>
    <w:rsid w:val="3BC91322"/>
    <w:rsid w:val="3BC91C79"/>
    <w:rsid w:val="3BD005FA"/>
    <w:rsid w:val="3BD16132"/>
    <w:rsid w:val="3BD25AB8"/>
    <w:rsid w:val="3BD62BE6"/>
    <w:rsid w:val="3BDA05F6"/>
    <w:rsid w:val="3BDE39D3"/>
    <w:rsid w:val="3BE131F2"/>
    <w:rsid w:val="3BE22A8C"/>
    <w:rsid w:val="3BE74634"/>
    <w:rsid w:val="3BE93A5E"/>
    <w:rsid w:val="3BEA4314"/>
    <w:rsid w:val="3BEE368D"/>
    <w:rsid w:val="3BF74D3C"/>
    <w:rsid w:val="3BFE0DAC"/>
    <w:rsid w:val="3BFE3F0A"/>
    <w:rsid w:val="3C0636F5"/>
    <w:rsid w:val="3C08753D"/>
    <w:rsid w:val="3C0A4D6F"/>
    <w:rsid w:val="3C1148EE"/>
    <w:rsid w:val="3C13184F"/>
    <w:rsid w:val="3C1413FF"/>
    <w:rsid w:val="3C1A35FC"/>
    <w:rsid w:val="3C1F6E64"/>
    <w:rsid w:val="3C2103F5"/>
    <w:rsid w:val="3C2226F5"/>
    <w:rsid w:val="3C232CED"/>
    <w:rsid w:val="3C244035"/>
    <w:rsid w:val="3C247B89"/>
    <w:rsid w:val="3C2936A9"/>
    <w:rsid w:val="3C2E3730"/>
    <w:rsid w:val="3C385074"/>
    <w:rsid w:val="3C3859F7"/>
    <w:rsid w:val="3C394E5D"/>
    <w:rsid w:val="3C3D006E"/>
    <w:rsid w:val="3C4447C2"/>
    <w:rsid w:val="3C47563D"/>
    <w:rsid w:val="3C4C17D8"/>
    <w:rsid w:val="3C4D3261"/>
    <w:rsid w:val="3C4E4CCF"/>
    <w:rsid w:val="3C4F081A"/>
    <w:rsid w:val="3C501F66"/>
    <w:rsid w:val="3C581F53"/>
    <w:rsid w:val="3C5D14D8"/>
    <w:rsid w:val="3C5E2B9E"/>
    <w:rsid w:val="3C5F5739"/>
    <w:rsid w:val="3C633E3F"/>
    <w:rsid w:val="3C6B75A3"/>
    <w:rsid w:val="3C6E4182"/>
    <w:rsid w:val="3C6F48B3"/>
    <w:rsid w:val="3C702706"/>
    <w:rsid w:val="3C72040A"/>
    <w:rsid w:val="3C747601"/>
    <w:rsid w:val="3C7B5307"/>
    <w:rsid w:val="3C833DB7"/>
    <w:rsid w:val="3C86449E"/>
    <w:rsid w:val="3C8742F7"/>
    <w:rsid w:val="3C8E33EE"/>
    <w:rsid w:val="3C916C26"/>
    <w:rsid w:val="3C955E50"/>
    <w:rsid w:val="3CA77F1E"/>
    <w:rsid w:val="3CA95C8D"/>
    <w:rsid w:val="3CAC6E02"/>
    <w:rsid w:val="3CB0438E"/>
    <w:rsid w:val="3CB84250"/>
    <w:rsid w:val="3CBC290B"/>
    <w:rsid w:val="3CBE0B1D"/>
    <w:rsid w:val="3CBE2611"/>
    <w:rsid w:val="3CC056FA"/>
    <w:rsid w:val="3CC50D7A"/>
    <w:rsid w:val="3CC61C77"/>
    <w:rsid w:val="3CC879C9"/>
    <w:rsid w:val="3CCA0DA8"/>
    <w:rsid w:val="3CCA2FC4"/>
    <w:rsid w:val="3CCA6D26"/>
    <w:rsid w:val="3CD41F27"/>
    <w:rsid w:val="3CD47191"/>
    <w:rsid w:val="3CD5187A"/>
    <w:rsid w:val="3CDC5460"/>
    <w:rsid w:val="3CE242A9"/>
    <w:rsid w:val="3CE37662"/>
    <w:rsid w:val="3CE90EF4"/>
    <w:rsid w:val="3CEB08E4"/>
    <w:rsid w:val="3CED07DD"/>
    <w:rsid w:val="3CF23645"/>
    <w:rsid w:val="3CFA0F19"/>
    <w:rsid w:val="3CFE2335"/>
    <w:rsid w:val="3D000F37"/>
    <w:rsid w:val="3D016FED"/>
    <w:rsid w:val="3D040D8E"/>
    <w:rsid w:val="3D0465B8"/>
    <w:rsid w:val="3D052BB3"/>
    <w:rsid w:val="3D0C4D84"/>
    <w:rsid w:val="3D0D1BA8"/>
    <w:rsid w:val="3D141ED7"/>
    <w:rsid w:val="3D2202FC"/>
    <w:rsid w:val="3D323296"/>
    <w:rsid w:val="3D335242"/>
    <w:rsid w:val="3D342A24"/>
    <w:rsid w:val="3D355E65"/>
    <w:rsid w:val="3D374371"/>
    <w:rsid w:val="3D391840"/>
    <w:rsid w:val="3D3F60C9"/>
    <w:rsid w:val="3D4423F9"/>
    <w:rsid w:val="3D4771F7"/>
    <w:rsid w:val="3D542E79"/>
    <w:rsid w:val="3D58292E"/>
    <w:rsid w:val="3D59355C"/>
    <w:rsid w:val="3D5C1639"/>
    <w:rsid w:val="3D5C1A50"/>
    <w:rsid w:val="3D5E107B"/>
    <w:rsid w:val="3D5F4115"/>
    <w:rsid w:val="3D614442"/>
    <w:rsid w:val="3D615628"/>
    <w:rsid w:val="3D646558"/>
    <w:rsid w:val="3D647FBA"/>
    <w:rsid w:val="3D68773D"/>
    <w:rsid w:val="3D721578"/>
    <w:rsid w:val="3D7C0C6A"/>
    <w:rsid w:val="3D7C322F"/>
    <w:rsid w:val="3D7C63AC"/>
    <w:rsid w:val="3D7C6905"/>
    <w:rsid w:val="3D8640C3"/>
    <w:rsid w:val="3D86507D"/>
    <w:rsid w:val="3D865570"/>
    <w:rsid w:val="3D882656"/>
    <w:rsid w:val="3D8C2012"/>
    <w:rsid w:val="3D8F7534"/>
    <w:rsid w:val="3D9255D4"/>
    <w:rsid w:val="3D935689"/>
    <w:rsid w:val="3D993F29"/>
    <w:rsid w:val="3D9B47AD"/>
    <w:rsid w:val="3D9D1F07"/>
    <w:rsid w:val="3DA7350F"/>
    <w:rsid w:val="3DAB73C6"/>
    <w:rsid w:val="3DAD3E99"/>
    <w:rsid w:val="3DB03C2C"/>
    <w:rsid w:val="3DB11E48"/>
    <w:rsid w:val="3DB41137"/>
    <w:rsid w:val="3DB4295B"/>
    <w:rsid w:val="3DBC04ED"/>
    <w:rsid w:val="3DBC23BA"/>
    <w:rsid w:val="3DBE75AD"/>
    <w:rsid w:val="3DBF00CF"/>
    <w:rsid w:val="3DBF011F"/>
    <w:rsid w:val="3DBF2CA3"/>
    <w:rsid w:val="3DC34857"/>
    <w:rsid w:val="3DC45CF7"/>
    <w:rsid w:val="3DC82029"/>
    <w:rsid w:val="3DCA479C"/>
    <w:rsid w:val="3DCC466D"/>
    <w:rsid w:val="3DD92815"/>
    <w:rsid w:val="3DDA4171"/>
    <w:rsid w:val="3DE41AB0"/>
    <w:rsid w:val="3DE63D64"/>
    <w:rsid w:val="3DE9467F"/>
    <w:rsid w:val="3DE95A26"/>
    <w:rsid w:val="3DE961FC"/>
    <w:rsid w:val="3DED0FE8"/>
    <w:rsid w:val="3DF34991"/>
    <w:rsid w:val="3DF44E18"/>
    <w:rsid w:val="3DF5519E"/>
    <w:rsid w:val="3DF72589"/>
    <w:rsid w:val="3DF8713D"/>
    <w:rsid w:val="3DF975E4"/>
    <w:rsid w:val="3DFB2520"/>
    <w:rsid w:val="3DFC505A"/>
    <w:rsid w:val="3E00457A"/>
    <w:rsid w:val="3E025D9C"/>
    <w:rsid w:val="3E0C3787"/>
    <w:rsid w:val="3E0E1471"/>
    <w:rsid w:val="3E0F0932"/>
    <w:rsid w:val="3E160000"/>
    <w:rsid w:val="3E174C74"/>
    <w:rsid w:val="3E1B67DE"/>
    <w:rsid w:val="3E1D4D5E"/>
    <w:rsid w:val="3E1E1A4D"/>
    <w:rsid w:val="3E1E54F6"/>
    <w:rsid w:val="3E1F0317"/>
    <w:rsid w:val="3E2607C8"/>
    <w:rsid w:val="3E283780"/>
    <w:rsid w:val="3E295036"/>
    <w:rsid w:val="3E2A7FBA"/>
    <w:rsid w:val="3E2D1ED1"/>
    <w:rsid w:val="3E316F05"/>
    <w:rsid w:val="3E33031E"/>
    <w:rsid w:val="3E393537"/>
    <w:rsid w:val="3E393D49"/>
    <w:rsid w:val="3E3C6B10"/>
    <w:rsid w:val="3E4209B8"/>
    <w:rsid w:val="3E423D15"/>
    <w:rsid w:val="3E432914"/>
    <w:rsid w:val="3E467EA9"/>
    <w:rsid w:val="3E4836D3"/>
    <w:rsid w:val="3E4C4EB2"/>
    <w:rsid w:val="3E515038"/>
    <w:rsid w:val="3E520B9A"/>
    <w:rsid w:val="3E534DD0"/>
    <w:rsid w:val="3E5551D7"/>
    <w:rsid w:val="3E58082B"/>
    <w:rsid w:val="3E5D33E7"/>
    <w:rsid w:val="3E5D51F2"/>
    <w:rsid w:val="3E687FDA"/>
    <w:rsid w:val="3E6A60AA"/>
    <w:rsid w:val="3E716ABB"/>
    <w:rsid w:val="3E717906"/>
    <w:rsid w:val="3E726BAC"/>
    <w:rsid w:val="3E740982"/>
    <w:rsid w:val="3E7B63AE"/>
    <w:rsid w:val="3E8661DD"/>
    <w:rsid w:val="3E8B2554"/>
    <w:rsid w:val="3E8F043C"/>
    <w:rsid w:val="3E93238E"/>
    <w:rsid w:val="3E934125"/>
    <w:rsid w:val="3EA06501"/>
    <w:rsid w:val="3EA10119"/>
    <w:rsid w:val="3EAB4AE8"/>
    <w:rsid w:val="3EAE1249"/>
    <w:rsid w:val="3EB36A3D"/>
    <w:rsid w:val="3EB80ECA"/>
    <w:rsid w:val="3EBE3EE3"/>
    <w:rsid w:val="3EBF0FA7"/>
    <w:rsid w:val="3ECD2D51"/>
    <w:rsid w:val="3ECF7691"/>
    <w:rsid w:val="3EDD2C65"/>
    <w:rsid w:val="3EDD42F5"/>
    <w:rsid w:val="3EDE2637"/>
    <w:rsid w:val="3EDF7566"/>
    <w:rsid w:val="3EE165D2"/>
    <w:rsid w:val="3EE17EFC"/>
    <w:rsid w:val="3EE27076"/>
    <w:rsid w:val="3EEA7247"/>
    <w:rsid w:val="3EEF57E2"/>
    <w:rsid w:val="3EF254FC"/>
    <w:rsid w:val="3EF36BA1"/>
    <w:rsid w:val="3EF52744"/>
    <w:rsid w:val="3EFD3D8E"/>
    <w:rsid w:val="3EFF7F57"/>
    <w:rsid w:val="3F01640D"/>
    <w:rsid w:val="3F02214B"/>
    <w:rsid w:val="3F047BEF"/>
    <w:rsid w:val="3F047EA3"/>
    <w:rsid w:val="3F062101"/>
    <w:rsid w:val="3F0B3398"/>
    <w:rsid w:val="3F0F6144"/>
    <w:rsid w:val="3F18762D"/>
    <w:rsid w:val="3F1A0C22"/>
    <w:rsid w:val="3F1A4052"/>
    <w:rsid w:val="3F1C696A"/>
    <w:rsid w:val="3F1E7FA3"/>
    <w:rsid w:val="3F1F5C5C"/>
    <w:rsid w:val="3F217296"/>
    <w:rsid w:val="3F23643C"/>
    <w:rsid w:val="3F274A41"/>
    <w:rsid w:val="3F287C28"/>
    <w:rsid w:val="3F3561E1"/>
    <w:rsid w:val="3F364FA1"/>
    <w:rsid w:val="3F373C95"/>
    <w:rsid w:val="3F3817ED"/>
    <w:rsid w:val="3F400E0F"/>
    <w:rsid w:val="3F403E53"/>
    <w:rsid w:val="3F4466F3"/>
    <w:rsid w:val="3F4622F3"/>
    <w:rsid w:val="3F4B255E"/>
    <w:rsid w:val="3F4C2AB9"/>
    <w:rsid w:val="3F5414BB"/>
    <w:rsid w:val="3F5B242A"/>
    <w:rsid w:val="3F5B2841"/>
    <w:rsid w:val="3F5E6BD8"/>
    <w:rsid w:val="3F64361C"/>
    <w:rsid w:val="3F663C72"/>
    <w:rsid w:val="3F67457A"/>
    <w:rsid w:val="3F677FB6"/>
    <w:rsid w:val="3F6902F3"/>
    <w:rsid w:val="3F6D3BCE"/>
    <w:rsid w:val="3F73772A"/>
    <w:rsid w:val="3F7E353E"/>
    <w:rsid w:val="3F8873CA"/>
    <w:rsid w:val="3F890995"/>
    <w:rsid w:val="3F95777F"/>
    <w:rsid w:val="3F95797F"/>
    <w:rsid w:val="3F9C1B2B"/>
    <w:rsid w:val="3F9E4072"/>
    <w:rsid w:val="3FA6457A"/>
    <w:rsid w:val="3FAB7C74"/>
    <w:rsid w:val="3FAD2980"/>
    <w:rsid w:val="3FAE3826"/>
    <w:rsid w:val="3FB01C12"/>
    <w:rsid w:val="3FB13EBC"/>
    <w:rsid w:val="3FB56EB1"/>
    <w:rsid w:val="3FB75F17"/>
    <w:rsid w:val="3FB838F9"/>
    <w:rsid w:val="3FB842B0"/>
    <w:rsid w:val="3FB927BD"/>
    <w:rsid w:val="3FBB0428"/>
    <w:rsid w:val="3FBC0171"/>
    <w:rsid w:val="3FC03C8B"/>
    <w:rsid w:val="3FC0590E"/>
    <w:rsid w:val="3FCC4221"/>
    <w:rsid w:val="3FCD394E"/>
    <w:rsid w:val="3FCF3D96"/>
    <w:rsid w:val="3FCF3F93"/>
    <w:rsid w:val="3FD1207B"/>
    <w:rsid w:val="3FD2036D"/>
    <w:rsid w:val="3FDF561C"/>
    <w:rsid w:val="3FE16B4E"/>
    <w:rsid w:val="3FE40F2E"/>
    <w:rsid w:val="3FE52AEB"/>
    <w:rsid w:val="3FE61943"/>
    <w:rsid w:val="3FE77CC0"/>
    <w:rsid w:val="3FED044E"/>
    <w:rsid w:val="3FEE19D0"/>
    <w:rsid w:val="3FEF0426"/>
    <w:rsid w:val="3FF4549C"/>
    <w:rsid w:val="3FF476AE"/>
    <w:rsid w:val="3FF51B86"/>
    <w:rsid w:val="3FF57835"/>
    <w:rsid w:val="3FFB006A"/>
    <w:rsid w:val="3FFB2C2D"/>
    <w:rsid w:val="3FFE293A"/>
    <w:rsid w:val="4001269B"/>
    <w:rsid w:val="40052B9A"/>
    <w:rsid w:val="40151216"/>
    <w:rsid w:val="40155D85"/>
    <w:rsid w:val="40196679"/>
    <w:rsid w:val="401B3942"/>
    <w:rsid w:val="401F4EF9"/>
    <w:rsid w:val="402534DF"/>
    <w:rsid w:val="40271F5C"/>
    <w:rsid w:val="40292267"/>
    <w:rsid w:val="402A77CB"/>
    <w:rsid w:val="402B4F57"/>
    <w:rsid w:val="402D0467"/>
    <w:rsid w:val="40340C35"/>
    <w:rsid w:val="40362CED"/>
    <w:rsid w:val="403F2F4C"/>
    <w:rsid w:val="40430F80"/>
    <w:rsid w:val="40432583"/>
    <w:rsid w:val="40464F56"/>
    <w:rsid w:val="40465529"/>
    <w:rsid w:val="40496C27"/>
    <w:rsid w:val="404F6A8D"/>
    <w:rsid w:val="405541BE"/>
    <w:rsid w:val="40562990"/>
    <w:rsid w:val="40571E1E"/>
    <w:rsid w:val="405A0292"/>
    <w:rsid w:val="405F50F9"/>
    <w:rsid w:val="406036F4"/>
    <w:rsid w:val="40612517"/>
    <w:rsid w:val="406A5408"/>
    <w:rsid w:val="406E7C31"/>
    <w:rsid w:val="407009CC"/>
    <w:rsid w:val="40717404"/>
    <w:rsid w:val="407217DE"/>
    <w:rsid w:val="407242AC"/>
    <w:rsid w:val="4072535A"/>
    <w:rsid w:val="40742045"/>
    <w:rsid w:val="40781C22"/>
    <w:rsid w:val="407A39BC"/>
    <w:rsid w:val="407A3F52"/>
    <w:rsid w:val="4080414D"/>
    <w:rsid w:val="40811B00"/>
    <w:rsid w:val="40816430"/>
    <w:rsid w:val="40874948"/>
    <w:rsid w:val="40890C76"/>
    <w:rsid w:val="40A2409C"/>
    <w:rsid w:val="40A44E67"/>
    <w:rsid w:val="40A67D09"/>
    <w:rsid w:val="40A86BF9"/>
    <w:rsid w:val="40B50223"/>
    <w:rsid w:val="40BB34D7"/>
    <w:rsid w:val="40BC5600"/>
    <w:rsid w:val="40BE659D"/>
    <w:rsid w:val="40C02FEA"/>
    <w:rsid w:val="40C93239"/>
    <w:rsid w:val="40C94D07"/>
    <w:rsid w:val="40CA7BE0"/>
    <w:rsid w:val="40CF04E5"/>
    <w:rsid w:val="40E36580"/>
    <w:rsid w:val="40E45ED9"/>
    <w:rsid w:val="40EB0EA6"/>
    <w:rsid w:val="40EC072D"/>
    <w:rsid w:val="40F30DE4"/>
    <w:rsid w:val="40F56747"/>
    <w:rsid w:val="40F65324"/>
    <w:rsid w:val="40F65B2C"/>
    <w:rsid w:val="40FA3DD1"/>
    <w:rsid w:val="40FF4FD8"/>
    <w:rsid w:val="41004DDB"/>
    <w:rsid w:val="41026818"/>
    <w:rsid w:val="4103460C"/>
    <w:rsid w:val="41036FC6"/>
    <w:rsid w:val="410426AF"/>
    <w:rsid w:val="410A02B3"/>
    <w:rsid w:val="410A7B51"/>
    <w:rsid w:val="4117166F"/>
    <w:rsid w:val="41183378"/>
    <w:rsid w:val="411E2BD8"/>
    <w:rsid w:val="411E76E3"/>
    <w:rsid w:val="41222FF7"/>
    <w:rsid w:val="41270EAB"/>
    <w:rsid w:val="412877D8"/>
    <w:rsid w:val="41295974"/>
    <w:rsid w:val="412A29A3"/>
    <w:rsid w:val="41332133"/>
    <w:rsid w:val="4138080E"/>
    <w:rsid w:val="413860A5"/>
    <w:rsid w:val="41390199"/>
    <w:rsid w:val="4147630F"/>
    <w:rsid w:val="4149265B"/>
    <w:rsid w:val="414C1C7A"/>
    <w:rsid w:val="41505533"/>
    <w:rsid w:val="415069C6"/>
    <w:rsid w:val="41510BCE"/>
    <w:rsid w:val="41533D07"/>
    <w:rsid w:val="415F51B9"/>
    <w:rsid w:val="41600815"/>
    <w:rsid w:val="416156C6"/>
    <w:rsid w:val="41621791"/>
    <w:rsid w:val="41646558"/>
    <w:rsid w:val="41675514"/>
    <w:rsid w:val="41756051"/>
    <w:rsid w:val="417C53E7"/>
    <w:rsid w:val="417F0050"/>
    <w:rsid w:val="419568D6"/>
    <w:rsid w:val="41964A4A"/>
    <w:rsid w:val="41964F66"/>
    <w:rsid w:val="41972D1D"/>
    <w:rsid w:val="419758F4"/>
    <w:rsid w:val="41A265CE"/>
    <w:rsid w:val="41A5251A"/>
    <w:rsid w:val="41AA1B1B"/>
    <w:rsid w:val="41AB229A"/>
    <w:rsid w:val="41AC4C67"/>
    <w:rsid w:val="41AD7751"/>
    <w:rsid w:val="41B07CB1"/>
    <w:rsid w:val="41B90D93"/>
    <w:rsid w:val="41BC6860"/>
    <w:rsid w:val="41BF3ABC"/>
    <w:rsid w:val="41CE288A"/>
    <w:rsid w:val="41CF5BE6"/>
    <w:rsid w:val="41D028AB"/>
    <w:rsid w:val="41D12AF0"/>
    <w:rsid w:val="41D8479E"/>
    <w:rsid w:val="41D86805"/>
    <w:rsid w:val="41DD0898"/>
    <w:rsid w:val="41E01205"/>
    <w:rsid w:val="41E03CEA"/>
    <w:rsid w:val="41E90253"/>
    <w:rsid w:val="41EA2DCD"/>
    <w:rsid w:val="41EA7286"/>
    <w:rsid w:val="41ED2CFF"/>
    <w:rsid w:val="41F00D50"/>
    <w:rsid w:val="41F36792"/>
    <w:rsid w:val="41F65FED"/>
    <w:rsid w:val="41FA39AD"/>
    <w:rsid w:val="420420F8"/>
    <w:rsid w:val="420C360A"/>
    <w:rsid w:val="420F12BC"/>
    <w:rsid w:val="4210762C"/>
    <w:rsid w:val="421230E7"/>
    <w:rsid w:val="42123495"/>
    <w:rsid w:val="42155AD3"/>
    <w:rsid w:val="42164CC7"/>
    <w:rsid w:val="42167CCC"/>
    <w:rsid w:val="42173B8F"/>
    <w:rsid w:val="421A3FD4"/>
    <w:rsid w:val="421A6B01"/>
    <w:rsid w:val="421C0AFA"/>
    <w:rsid w:val="421F1E9B"/>
    <w:rsid w:val="421F7CC4"/>
    <w:rsid w:val="422270DD"/>
    <w:rsid w:val="422C1C67"/>
    <w:rsid w:val="422E0532"/>
    <w:rsid w:val="422F48E7"/>
    <w:rsid w:val="42304223"/>
    <w:rsid w:val="4230602E"/>
    <w:rsid w:val="423B4B38"/>
    <w:rsid w:val="423B6EBD"/>
    <w:rsid w:val="423E35CD"/>
    <w:rsid w:val="42442ED5"/>
    <w:rsid w:val="424566C9"/>
    <w:rsid w:val="42477CE1"/>
    <w:rsid w:val="4251015E"/>
    <w:rsid w:val="425132C0"/>
    <w:rsid w:val="425763BF"/>
    <w:rsid w:val="425966A2"/>
    <w:rsid w:val="425A65A3"/>
    <w:rsid w:val="425A72CB"/>
    <w:rsid w:val="425B0257"/>
    <w:rsid w:val="425C482C"/>
    <w:rsid w:val="42611D03"/>
    <w:rsid w:val="426E1D64"/>
    <w:rsid w:val="426F48B2"/>
    <w:rsid w:val="4275791F"/>
    <w:rsid w:val="427F4235"/>
    <w:rsid w:val="428631B5"/>
    <w:rsid w:val="428A205F"/>
    <w:rsid w:val="428B0580"/>
    <w:rsid w:val="42904AC3"/>
    <w:rsid w:val="42956B20"/>
    <w:rsid w:val="42A05CBF"/>
    <w:rsid w:val="42A40A52"/>
    <w:rsid w:val="42A4130C"/>
    <w:rsid w:val="42B62BE9"/>
    <w:rsid w:val="42BC6ACA"/>
    <w:rsid w:val="42BF4E07"/>
    <w:rsid w:val="42BF7C0A"/>
    <w:rsid w:val="42C341BE"/>
    <w:rsid w:val="42C47EC6"/>
    <w:rsid w:val="42C75EFD"/>
    <w:rsid w:val="42CB5CB0"/>
    <w:rsid w:val="42CE2773"/>
    <w:rsid w:val="42D11A22"/>
    <w:rsid w:val="42D37400"/>
    <w:rsid w:val="42D50E15"/>
    <w:rsid w:val="42E147C0"/>
    <w:rsid w:val="42E17A81"/>
    <w:rsid w:val="42E979DC"/>
    <w:rsid w:val="42EB5616"/>
    <w:rsid w:val="42EC78F5"/>
    <w:rsid w:val="42F20239"/>
    <w:rsid w:val="42F37F0A"/>
    <w:rsid w:val="42F63D25"/>
    <w:rsid w:val="42FE674C"/>
    <w:rsid w:val="4307173E"/>
    <w:rsid w:val="430B676F"/>
    <w:rsid w:val="431162BD"/>
    <w:rsid w:val="43123712"/>
    <w:rsid w:val="43185FF4"/>
    <w:rsid w:val="43197DC0"/>
    <w:rsid w:val="431B669C"/>
    <w:rsid w:val="4321556A"/>
    <w:rsid w:val="43221C9D"/>
    <w:rsid w:val="43235081"/>
    <w:rsid w:val="432B58BF"/>
    <w:rsid w:val="432F11A6"/>
    <w:rsid w:val="433262A0"/>
    <w:rsid w:val="43351B98"/>
    <w:rsid w:val="43361083"/>
    <w:rsid w:val="433A57C9"/>
    <w:rsid w:val="433C7ACC"/>
    <w:rsid w:val="433D2682"/>
    <w:rsid w:val="433E4E92"/>
    <w:rsid w:val="433F58A7"/>
    <w:rsid w:val="43415BA7"/>
    <w:rsid w:val="43480BEA"/>
    <w:rsid w:val="43500E3D"/>
    <w:rsid w:val="4352722D"/>
    <w:rsid w:val="435368CA"/>
    <w:rsid w:val="435473D7"/>
    <w:rsid w:val="435D3FD7"/>
    <w:rsid w:val="435D79F9"/>
    <w:rsid w:val="435F6E79"/>
    <w:rsid w:val="43675130"/>
    <w:rsid w:val="436C0231"/>
    <w:rsid w:val="43713FAF"/>
    <w:rsid w:val="437312E1"/>
    <w:rsid w:val="43776B8C"/>
    <w:rsid w:val="43791B96"/>
    <w:rsid w:val="437A1CFD"/>
    <w:rsid w:val="437C51DD"/>
    <w:rsid w:val="437E1263"/>
    <w:rsid w:val="43805F8A"/>
    <w:rsid w:val="4383071C"/>
    <w:rsid w:val="438551FD"/>
    <w:rsid w:val="43860D60"/>
    <w:rsid w:val="43861AA5"/>
    <w:rsid w:val="438859D4"/>
    <w:rsid w:val="43885DAA"/>
    <w:rsid w:val="438C0B71"/>
    <w:rsid w:val="439211BF"/>
    <w:rsid w:val="43995C1D"/>
    <w:rsid w:val="439B19F1"/>
    <w:rsid w:val="439F6AD7"/>
    <w:rsid w:val="43A60319"/>
    <w:rsid w:val="43AE09CA"/>
    <w:rsid w:val="43B70A87"/>
    <w:rsid w:val="43B94565"/>
    <w:rsid w:val="43BF34C8"/>
    <w:rsid w:val="43C17E6A"/>
    <w:rsid w:val="43C20D3F"/>
    <w:rsid w:val="43C60FE9"/>
    <w:rsid w:val="43C862A6"/>
    <w:rsid w:val="43CA0291"/>
    <w:rsid w:val="43D83001"/>
    <w:rsid w:val="43D94542"/>
    <w:rsid w:val="43DD75C7"/>
    <w:rsid w:val="43E45B46"/>
    <w:rsid w:val="43EC70F9"/>
    <w:rsid w:val="43EE6F39"/>
    <w:rsid w:val="43F14812"/>
    <w:rsid w:val="43F602D2"/>
    <w:rsid w:val="43F73512"/>
    <w:rsid w:val="43F93CC1"/>
    <w:rsid w:val="43FD4382"/>
    <w:rsid w:val="43FF3478"/>
    <w:rsid w:val="440165EF"/>
    <w:rsid w:val="44077C06"/>
    <w:rsid w:val="44175E02"/>
    <w:rsid w:val="441A1BD6"/>
    <w:rsid w:val="44250172"/>
    <w:rsid w:val="44264A92"/>
    <w:rsid w:val="44283DED"/>
    <w:rsid w:val="44290368"/>
    <w:rsid w:val="442D06B2"/>
    <w:rsid w:val="443257A7"/>
    <w:rsid w:val="44334820"/>
    <w:rsid w:val="443A02AC"/>
    <w:rsid w:val="443C1975"/>
    <w:rsid w:val="443D4837"/>
    <w:rsid w:val="443F29F3"/>
    <w:rsid w:val="44447168"/>
    <w:rsid w:val="44467992"/>
    <w:rsid w:val="444A3410"/>
    <w:rsid w:val="444A3A74"/>
    <w:rsid w:val="44507CD3"/>
    <w:rsid w:val="4451506D"/>
    <w:rsid w:val="4452169F"/>
    <w:rsid w:val="44524ABA"/>
    <w:rsid w:val="44553105"/>
    <w:rsid w:val="445609A8"/>
    <w:rsid w:val="44583556"/>
    <w:rsid w:val="44621D72"/>
    <w:rsid w:val="44627B4A"/>
    <w:rsid w:val="44682B0A"/>
    <w:rsid w:val="446B5CDF"/>
    <w:rsid w:val="446B5F6D"/>
    <w:rsid w:val="44703829"/>
    <w:rsid w:val="44741E4F"/>
    <w:rsid w:val="44766926"/>
    <w:rsid w:val="4477497B"/>
    <w:rsid w:val="447D1A0E"/>
    <w:rsid w:val="447E0D11"/>
    <w:rsid w:val="447F7557"/>
    <w:rsid w:val="44800A33"/>
    <w:rsid w:val="44830CDD"/>
    <w:rsid w:val="448C406A"/>
    <w:rsid w:val="448E41B7"/>
    <w:rsid w:val="44914709"/>
    <w:rsid w:val="449268F8"/>
    <w:rsid w:val="4497145E"/>
    <w:rsid w:val="449961D7"/>
    <w:rsid w:val="449E6107"/>
    <w:rsid w:val="44A06E89"/>
    <w:rsid w:val="44A177DE"/>
    <w:rsid w:val="44AC2719"/>
    <w:rsid w:val="44B1552C"/>
    <w:rsid w:val="44B738AE"/>
    <w:rsid w:val="44B91DC9"/>
    <w:rsid w:val="44BE5A6B"/>
    <w:rsid w:val="44BE7253"/>
    <w:rsid w:val="44C378AE"/>
    <w:rsid w:val="44D02E81"/>
    <w:rsid w:val="44D155A5"/>
    <w:rsid w:val="44D77B5A"/>
    <w:rsid w:val="44DB4041"/>
    <w:rsid w:val="44DE6720"/>
    <w:rsid w:val="44DF1057"/>
    <w:rsid w:val="44E17096"/>
    <w:rsid w:val="44E813E5"/>
    <w:rsid w:val="44EA2546"/>
    <w:rsid w:val="44EB5011"/>
    <w:rsid w:val="44FA1F8A"/>
    <w:rsid w:val="44FB4680"/>
    <w:rsid w:val="44FD73BB"/>
    <w:rsid w:val="44FD7CAC"/>
    <w:rsid w:val="44FF23A1"/>
    <w:rsid w:val="45026A1C"/>
    <w:rsid w:val="450308A1"/>
    <w:rsid w:val="45082B69"/>
    <w:rsid w:val="45085ABD"/>
    <w:rsid w:val="4511662D"/>
    <w:rsid w:val="451334A2"/>
    <w:rsid w:val="451B7185"/>
    <w:rsid w:val="451D2BE0"/>
    <w:rsid w:val="451D334D"/>
    <w:rsid w:val="451F76A5"/>
    <w:rsid w:val="45220947"/>
    <w:rsid w:val="45223691"/>
    <w:rsid w:val="45260B5D"/>
    <w:rsid w:val="45286488"/>
    <w:rsid w:val="45296326"/>
    <w:rsid w:val="452A55EA"/>
    <w:rsid w:val="452B642A"/>
    <w:rsid w:val="452D5348"/>
    <w:rsid w:val="452F3DE8"/>
    <w:rsid w:val="453C60D5"/>
    <w:rsid w:val="453D47DA"/>
    <w:rsid w:val="45401F66"/>
    <w:rsid w:val="45405D2C"/>
    <w:rsid w:val="454339EA"/>
    <w:rsid w:val="4548594F"/>
    <w:rsid w:val="4549503B"/>
    <w:rsid w:val="454C2C4E"/>
    <w:rsid w:val="454C50CA"/>
    <w:rsid w:val="4556617E"/>
    <w:rsid w:val="455753C8"/>
    <w:rsid w:val="455914BC"/>
    <w:rsid w:val="45592B60"/>
    <w:rsid w:val="455B252C"/>
    <w:rsid w:val="455C6204"/>
    <w:rsid w:val="4560668E"/>
    <w:rsid w:val="45683B69"/>
    <w:rsid w:val="456955A2"/>
    <w:rsid w:val="456B404A"/>
    <w:rsid w:val="456C2A12"/>
    <w:rsid w:val="456E3C94"/>
    <w:rsid w:val="456F48C6"/>
    <w:rsid w:val="45724496"/>
    <w:rsid w:val="45773575"/>
    <w:rsid w:val="45790C72"/>
    <w:rsid w:val="457C77A1"/>
    <w:rsid w:val="458A5A10"/>
    <w:rsid w:val="458C2C3C"/>
    <w:rsid w:val="4597208A"/>
    <w:rsid w:val="4597641B"/>
    <w:rsid w:val="4597723C"/>
    <w:rsid w:val="459A19D1"/>
    <w:rsid w:val="459D5421"/>
    <w:rsid w:val="45A04FA5"/>
    <w:rsid w:val="45A207B5"/>
    <w:rsid w:val="45A26527"/>
    <w:rsid w:val="45A53277"/>
    <w:rsid w:val="45AF2883"/>
    <w:rsid w:val="45B23351"/>
    <w:rsid w:val="45B61B58"/>
    <w:rsid w:val="45B7282F"/>
    <w:rsid w:val="45B957A7"/>
    <w:rsid w:val="45BE214D"/>
    <w:rsid w:val="45C101E2"/>
    <w:rsid w:val="45C35768"/>
    <w:rsid w:val="45C63CD9"/>
    <w:rsid w:val="45C813B9"/>
    <w:rsid w:val="45CE43A4"/>
    <w:rsid w:val="45D02204"/>
    <w:rsid w:val="45D16A63"/>
    <w:rsid w:val="45D60AB0"/>
    <w:rsid w:val="45DA1821"/>
    <w:rsid w:val="45E53253"/>
    <w:rsid w:val="45E55964"/>
    <w:rsid w:val="45E737CF"/>
    <w:rsid w:val="45EC16D6"/>
    <w:rsid w:val="45ED4DC6"/>
    <w:rsid w:val="45ED4E30"/>
    <w:rsid w:val="45F11A26"/>
    <w:rsid w:val="45F85286"/>
    <w:rsid w:val="4607029F"/>
    <w:rsid w:val="46070B18"/>
    <w:rsid w:val="460B1E4B"/>
    <w:rsid w:val="460B7C13"/>
    <w:rsid w:val="4611637A"/>
    <w:rsid w:val="46127803"/>
    <w:rsid w:val="4613112B"/>
    <w:rsid w:val="46173542"/>
    <w:rsid w:val="46243957"/>
    <w:rsid w:val="46243D27"/>
    <w:rsid w:val="46285F91"/>
    <w:rsid w:val="462958A4"/>
    <w:rsid w:val="462A5E77"/>
    <w:rsid w:val="46325C8F"/>
    <w:rsid w:val="463844B2"/>
    <w:rsid w:val="463A10BC"/>
    <w:rsid w:val="463E2ECB"/>
    <w:rsid w:val="463F5956"/>
    <w:rsid w:val="463F7FFF"/>
    <w:rsid w:val="464122A4"/>
    <w:rsid w:val="46472397"/>
    <w:rsid w:val="464B62D7"/>
    <w:rsid w:val="465B295F"/>
    <w:rsid w:val="46670841"/>
    <w:rsid w:val="46697380"/>
    <w:rsid w:val="467007B2"/>
    <w:rsid w:val="467D4684"/>
    <w:rsid w:val="467E0497"/>
    <w:rsid w:val="46840593"/>
    <w:rsid w:val="468F2186"/>
    <w:rsid w:val="469073ED"/>
    <w:rsid w:val="46915D61"/>
    <w:rsid w:val="46933163"/>
    <w:rsid w:val="46934565"/>
    <w:rsid w:val="4697312D"/>
    <w:rsid w:val="46995DE8"/>
    <w:rsid w:val="469A23A9"/>
    <w:rsid w:val="469C1AE6"/>
    <w:rsid w:val="46A17E9B"/>
    <w:rsid w:val="46A57246"/>
    <w:rsid w:val="46A8355B"/>
    <w:rsid w:val="46A95479"/>
    <w:rsid w:val="46AB5E88"/>
    <w:rsid w:val="46AE141C"/>
    <w:rsid w:val="46B05D61"/>
    <w:rsid w:val="46B21588"/>
    <w:rsid w:val="46B34DA9"/>
    <w:rsid w:val="46B64BD7"/>
    <w:rsid w:val="46B806E1"/>
    <w:rsid w:val="46BE62C3"/>
    <w:rsid w:val="46C00AD8"/>
    <w:rsid w:val="46C044A2"/>
    <w:rsid w:val="46CA41C0"/>
    <w:rsid w:val="46D537A3"/>
    <w:rsid w:val="46D55D6E"/>
    <w:rsid w:val="46DC3DC5"/>
    <w:rsid w:val="46E03D38"/>
    <w:rsid w:val="46E25DF1"/>
    <w:rsid w:val="46E37C25"/>
    <w:rsid w:val="46E55CA3"/>
    <w:rsid w:val="46E80DFF"/>
    <w:rsid w:val="46EA0D8B"/>
    <w:rsid w:val="46EC30C1"/>
    <w:rsid w:val="46F149ED"/>
    <w:rsid w:val="46F2501A"/>
    <w:rsid w:val="46F45A8B"/>
    <w:rsid w:val="46F75841"/>
    <w:rsid w:val="46F81585"/>
    <w:rsid w:val="46FC7742"/>
    <w:rsid w:val="46FD3FF5"/>
    <w:rsid w:val="46FF0609"/>
    <w:rsid w:val="47071FEF"/>
    <w:rsid w:val="47081811"/>
    <w:rsid w:val="470A7A0C"/>
    <w:rsid w:val="470B0A64"/>
    <w:rsid w:val="470E207B"/>
    <w:rsid w:val="470E5E87"/>
    <w:rsid w:val="4710374A"/>
    <w:rsid w:val="47120DFE"/>
    <w:rsid w:val="47134A60"/>
    <w:rsid w:val="471564D6"/>
    <w:rsid w:val="47175DEC"/>
    <w:rsid w:val="4719302C"/>
    <w:rsid w:val="471A1424"/>
    <w:rsid w:val="471B533F"/>
    <w:rsid w:val="471B70B4"/>
    <w:rsid w:val="471D3D52"/>
    <w:rsid w:val="47237C25"/>
    <w:rsid w:val="4724150B"/>
    <w:rsid w:val="472C318E"/>
    <w:rsid w:val="472C4B3A"/>
    <w:rsid w:val="4730140F"/>
    <w:rsid w:val="4732586E"/>
    <w:rsid w:val="47345639"/>
    <w:rsid w:val="47380C66"/>
    <w:rsid w:val="473A0462"/>
    <w:rsid w:val="473C62ED"/>
    <w:rsid w:val="473C635C"/>
    <w:rsid w:val="473D1B06"/>
    <w:rsid w:val="474B5F79"/>
    <w:rsid w:val="4751760A"/>
    <w:rsid w:val="47536681"/>
    <w:rsid w:val="475D7C0B"/>
    <w:rsid w:val="475E4027"/>
    <w:rsid w:val="4761657F"/>
    <w:rsid w:val="47630172"/>
    <w:rsid w:val="47673315"/>
    <w:rsid w:val="476905D2"/>
    <w:rsid w:val="476917C6"/>
    <w:rsid w:val="476F66C2"/>
    <w:rsid w:val="477248F8"/>
    <w:rsid w:val="4775140B"/>
    <w:rsid w:val="47761672"/>
    <w:rsid w:val="477D554C"/>
    <w:rsid w:val="47887B91"/>
    <w:rsid w:val="478C7327"/>
    <w:rsid w:val="478D25AF"/>
    <w:rsid w:val="478E670E"/>
    <w:rsid w:val="478F756E"/>
    <w:rsid w:val="479200A4"/>
    <w:rsid w:val="47921F9A"/>
    <w:rsid w:val="47943E13"/>
    <w:rsid w:val="47954D85"/>
    <w:rsid w:val="47A85730"/>
    <w:rsid w:val="47AC170A"/>
    <w:rsid w:val="47AF301F"/>
    <w:rsid w:val="47AF399D"/>
    <w:rsid w:val="47B13066"/>
    <w:rsid w:val="47B21A06"/>
    <w:rsid w:val="47B24D5C"/>
    <w:rsid w:val="47B70CA7"/>
    <w:rsid w:val="47BF2E50"/>
    <w:rsid w:val="47C06604"/>
    <w:rsid w:val="47C139C4"/>
    <w:rsid w:val="47CB1F3C"/>
    <w:rsid w:val="47CF035D"/>
    <w:rsid w:val="47D15438"/>
    <w:rsid w:val="47D27CBC"/>
    <w:rsid w:val="47D53B7D"/>
    <w:rsid w:val="47DA72DD"/>
    <w:rsid w:val="47E14F4A"/>
    <w:rsid w:val="47E366DB"/>
    <w:rsid w:val="47E674FD"/>
    <w:rsid w:val="47E76E86"/>
    <w:rsid w:val="47EC2D47"/>
    <w:rsid w:val="47EE1CB2"/>
    <w:rsid w:val="47F74A6A"/>
    <w:rsid w:val="47FE423C"/>
    <w:rsid w:val="48010B23"/>
    <w:rsid w:val="480202EF"/>
    <w:rsid w:val="480D6F68"/>
    <w:rsid w:val="480E77A5"/>
    <w:rsid w:val="480F416D"/>
    <w:rsid w:val="48124E95"/>
    <w:rsid w:val="481641AC"/>
    <w:rsid w:val="481825F6"/>
    <w:rsid w:val="481C249F"/>
    <w:rsid w:val="48253DCB"/>
    <w:rsid w:val="48293131"/>
    <w:rsid w:val="48295E1A"/>
    <w:rsid w:val="48366F0D"/>
    <w:rsid w:val="4840005F"/>
    <w:rsid w:val="48411B70"/>
    <w:rsid w:val="4841253F"/>
    <w:rsid w:val="484141A0"/>
    <w:rsid w:val="48434CAF"/>
    <w:rsid w:val="48442B81"/>
    <w:rsid w:val="484647B2"/>
    <w:rsid w:val="48473FF9"/>
    <w:rsid w:val="484D7D44"/>
    <w:rsid w:val="484F4518"/>
    <w:rsid w:val="4853743A"/>
    <w:rsid w:val="485D2840"/>
    <w:rsid w:val="48615D98"/>
    <w:rsid w:val="4862555C"/>
    <w:rsid w:val="4865532D"/>
    <w:rsid w:val="48700EC6"/>
    <w:rsid w:val="487514D9"/>
    <w:rsid w:val="48772013"/>
    <w:rsid w:val="487A321B"/>
    <w:rsid w:val="48823E20"/>
    <w:rsid w:val="48855CF8"/>
    <w:rsid w:val="488841C9"/>
    <w:rsid w:val="48896401"/>
    <w:rsid w:val="488E1DE8"/>
    <w:rsid w:val="489133D5"/>
    <w:rsid w:val="489239B1"/>
    <w:rsid w:val="48A90B9B"/>
    <w:rsid w:val="48AA281F"/>
    <w:rsid w:val="48AC2453"/>
    <w:rsid w:val="48AF2EEE"/>
    <w:rsid w:val="48B07B66"/>
    <w:rsid w:val="48B43B10"/>
    <w:rsid w:val="48B56357"/>
    <w:rsid w:val="48B73451"/>
    <w:rsid w:val="48C0707C"/>
    <w:rsid w:val="48C16D4E"/>
    <w:rsid w:val="48C55692"/>
    <w:rsid w:val="48CB26BA"/>
    <w:rsid w:val="48D05CF0"/>
    <w:rsid w:val="48D6563A"/>
    <w:rsid w:val="48D72889"/>
    <w:rsid w:val="48D9245D"/>
    <w:rsid w:val="48E636FE"/>
    <w:rsid w:val="48E87E35"/>
    <w:rsid w:val="48EB0E69"/>
    <w:rsid w:val="48EC789E"/>
    <w:rsid w:val="48F164EB"/>
    <w:rsid w:val="48F2014E"/>
    <w:rsid w:val="48F4008C"/>
    <w:rsid w:val="48F614FC"/>
    <w:rsid w:val="48F63196"/>
    <w:rsid w:val="48FB392D"/>
    <w:rsid w:val="48FB4749"/>
    <w:rsid w:val="48FF4533"/>
    <w:rsid w:val="49023D9E"/>
    <w:rsid w:val="49051B72"/>
    <w:rsid w:val="4906716A"/>
    <w:rsid w:val="4907535C"/>
    <w:rsid w:val="490878AE"/>
    <w:rsid w:val="490C2300"/>
    <w:rsid w:val="490C25AE"/>
    <w:rsid w:val="490E693C"/>
    <w:rsid w:val="49104307"/>
    <w:rsid w:val="49173C0E"/>
    <w:rsid w:val="49180694"/>
    <w:rsid w:val="491B4ABE"/>
    <w:rsid w:val="491B7535"/>
    <w:rsid w:val="491D4834"/>
    <w:rsid w:val="491F3DEA"/>
    <w:rsid w:val="491F4CE7"/>
    <w:rsid w:val="49250C0F"/>
    <w:rsid w:val="49330C5A"/>
    <w:rsid w:val="493A49D5"/>
    <w:rsid w:val="494113A3"/>
    <w:rsid w:val="4941304D"/>
    <w:rsid w:val="49435492"/>
    <w:rsid w:val="4950126B"/>
    <w:rsid w:val="49535ECC"/>
    <w:rsid w:val="49553696"/>
    <w:rsid w:val="49560F2D"/>
    <w:rsid w:val="495711BC"/>
    <w:rsid w:val="49607418"/>
    <w:rsid w:val="496F6816"/>
    <w:rsid w:val="4972119C"/>
    <w:rsid w:val="497747B2"/>
    <w:rsid w:val="4984009E"/>
    <w:rsid w:val="4985165E"/>
    <w:rsid w:val="498629FC"/>
    <w:rsid w:val="49885E1D"/>
    <w:rsid w:val="498A2850"/>
    <w:rsid w:val="498C6829"/>
    <w:rsid w:val="498E1127"/>
    <w:rsid w:val="498F425A"/>
    <w:rsid w:val="4991696C"/>
    <w:rsid w:val="499353C7"/>
    <w:rsid w:val="49961C2D"/>
    <w:rsid w:val="499716F7"/>
    <w:rsid w:val="499864F6"/>
    <w:rsid w:val="499A7996"/>
    <w:rsid w:val="499E3086"/>
    <w:rsid w:val="49A60799"/>
    <w:rsid w:val="49A77C18"/>
    <w:rsid w:val="49A91D55"/>
    <w:rsid w:val="49AB18AD"/>
    <w:rsid w:val="49AF36C6"/>
    <w:rsid w:val="49B54CE2"/>
    <w:rsid w:val="49B760FE"/>
    <w:rsid w:val="49B94F9A"/>
    <w:rsid w:val="49BB3A1F"/>
    <w:rsid w:val="49BE3D5D"/>
    <w:rsid w:val="49BE56DF"/>
    <w:rsid w:val="49BF1F0B"/>
    <w:rsid w:val="49C15130"/>
    <w:rsid w:val="49C73371"/>
    <w:rsid w:val="49CC4A2D"/>
    <w:rsid w:val="49CD4C62"/>
    <w:rsid w:val="49CD56E3"/>
    <w:rsid w:val="49CF4548"/>
    <w:rsid w:val="49D05584"/>
    <w:rsid w:val="49D852B6"/>
    <w:rsid w:val="49D85345"/>
    <w:rsid w:val="49DB35D3"/>
    <w:rsid w:val="49DD429A"/>
    <w:rsid w:val="49DE3230"/>
    <w:rsid w:val="49DF5057"/>
    <w:rsid w:val="49DF6D5D"/>
    <w:rsid w:val="49E01723"/>
    <w:rsid w:val="49E04330"/>
    <w:rsid w:val="49E727CF"/>
    <w:rsid w:val="49F545CA"/>
    <w:rsid w:val="49F62094"/>
    <w:rsid w:val="49FA09C8"/>
    <w:rsid w:val="49FE05D9"/>
    <w:rsid w:val="4A006631"/>
    <w:rsid w:val="4A006AEA"/>
    <w:rsid w:val="4A02359F"/>
    <w:rsid w:val="4A047C7C"/>
    <w:rsid w:val="4A07458F"/>
    <w:rsid w:val="4A09170B"/>
    <w:rsid w:val="4A0D3F23"/>
    <w:rsid w:val="4A114E1D"/>
    <w:rsid w:val="4A135894"/>
    <w:rsid w:val="4A151571"/>
    <w:rsid w:val="4A177700"/>
    <w:rsid w:val="4A1E74C2"/>
    <w:rsid w:val="4A202DDF"/>
    <w:rsid w:val="4A234221"/>
    <w:rsid w:val="4A243126"/>
    <w:rsid w:val="4A293F5D"/>
    <w:rsid w:val="4A2A6D4F"/>
    <w:rsid w:val="4A2B332A"/>
    <w:rsid w:val="4A2B407D"/>
    <w:rsid w:val="4A2C2931"/>
    <w:rsid w:val="4A383146"/>
    <w:rsid w:val="4A38420B"/>
    <w:rsid w:val="4A386881"/>
    <w:rsid w:val="4A386A1F"/>
    <w:rsid w:val="4A3A4891"/>
    <w:rsid w:val="4A3D5C91"/>
    <w:rsid w:val="4A3E54AD"/>
    <w:rsid w:val="4A3F1A00"/>
    <w:rsid w:val="4A4A6B64"/>
    <w:rsid w:val="4A5D7F7A"/>
    <w:rsid w:val="4A5E55C5"/>
    <w:rsid w:val="4A640EAB"/>
    <w:rsid w:val="4A6563A6"/>
    <w:rsid w:val="4A6C279C"/>
    <w:rsid w:val="4A6D41A1"/>
    <w:rsid w:val="4A726173"/>
    <w:rsid w:val="4A7560D4"/>
    <w:rsid w:val="4A784B97"/>
    <w:rsid w:val="4A8219BC"/>
    <w:rsid w:val="4A845E9B"/>
    <w:rsid w:val="4A8633F5"/>
    <w:rsid w:val="4A8706EE"/>
    <w:rsid w:val="4A8802BD"/>
    <w:rsid w:val="4A8A1915"/>
    <w:rsid w:val="4A8C515A"/>
    <w:rsid w:val="4A8D61E2"/>
    <w:rsid w:val="4A8D79BD"/>
    <w:rsid w:val="4A90345E"/>
    <w:rsid w:val="4A9176A9"/>
    <w:rsid w:val="4A954B47"/>
    <w:rsid w:val="4A9F0D06"/>
    <w:rsid w:val="4AA05921"/>
    <w:rsid w:val="4AA3222D"/>
    <w:rsid w:val="4AA55A24"/>
    <w:rsid w:val="4AAA7A11"/>
    <w:rsid w:val="4AB123B8"/>
    <w:rsid w:val="4AB22F4A"/>
    <w:rsid w:val="4AB524B6"/>
    <w:rsid w:val="4AC21819"/>
    <w:rsid w:val="4AC47579"/>
    <w:rsid w:val="4ACA7234"/>
    <w:rsid w:val="4AD043C4"/>
    <w:rsid w:val="4AD14D5E"/>
    <w:rsid w:val="4AD34835"/>
    <w:rsid w:val="4AD65FC3"/>
    <w:rsid w:val="4ADD6E30"/>
    <w:rsid w:val="4AEC3715"/>
    <w:rsid w:val="4AED0EF2"/>
    <w:rsid w:val="4AEE43D6"/>
    <w:rsid w:val="4AEF2266"/>
    <w:rsid w:val="4AEF6AEF"/>
    <w:rsid w:val="4AF26834"/>
    <w:rsid w:val="4AF31533"/>
    <w:rsid w:val="4AF759C2"/>
    <w:rsid w:val="4AF81869"/>
    <w:rsid w:val="4AFD699B"/>
    <w:rsid w:val="4AFF0728"/>
    <w:rsid w:val="4B045E1A"/>
    <w:rsid w:val="4B045FB2"/>
    <w:rsid w:val="4B0E2FDA"/>
    <w:rsid w:val="4B136393"/>
    <w:rsid w:val="4B1A5440"/>
    <w:rsid w:val="4B1E6E08"/>
    <w:rsid w:val="4B2B1904"/>
    <w:rsid w:val="4B2C59DB"/>
    <w:rsid w:val="4B2C65A0"/>
    <w:rsid w:val="4B3D0AE6"/>
    <w:rsid w:val="4B3E0BA9"/>
    <w:rsid w:val="4B3F4A03"/>
    <w:rsid w:val="4B404147"/>
    <w:rsid w:val="4B472390"/>
    <w:rsid w:val="4B4B66E9"/>
    <w:rsid w:val="4B53575B"/>
    <w:rsid w:val="4B53575F"/>
    <w:rsid w:val="4B536B93"/>
    <w:rsid w:val="4B57029F"/>
    <w:rsid w:val="4B5763CC"/>
    <w:rsid w:val="4B5822F9"/>
    <w:rsid w:val="4B5A1CD6"/>
    <w:rsid w:val="4B5C045B"/>
    <w:rsid w:val="4B656F31"/>
    <w:rsid w:val="4B684F88"/>
    <w:rsid w:val="4B685A25"/>
    <w:rsid w:val="4B6B02AE"/>
    <w:rsid w:val="4B785C41"/>
    <w:rsid w:val="4B895684"/>
    <w:rsid w:val="4B897276"/>
    <w:rsid w:val="4B897BEB"/>
    <w:rsid w:val="4B8D2C65"/>
    <w:rsid w:val="4B8E038F"/>
    <w:rsid w:val="4B8E7D33"/>
    <w:rsid w:val="4B9B5C56"/>
    <w:rsid w:val="4B9B6EB5"/>
    <w:rsid w:val="4B9D71A2"/>
    <w:rsid w:val="4B9F2CDF"/>
    <w:rsid w:val="4BA328FA"/>
    <w:rsid w:val="4BA9098D"/>
    <w:rsid w:val="4BAB3570"/>
    <w:rsid w:val="4BAE1107"/>
    <w:rsid w:val="4BB4026F"/>
    <w:rsid w:val="4BB56FF6"/>
    <w:rsid w:val="4BB635A0"/>
    <w:rsid w:val="4BBB11AD"/>
    <w:rsid w:val="4BBC007B"/>
    <w:rsid w:val="4BBE19C6"/>
    <w:rsid w:val="4BC91C7D"/>
    <w:rsid w:val="4BCE5663"/>
    <w:rsid w:val="4BCE65E0"/>
    <w:rsid w:val="4BD14CA7"/>
    <w:rsid w:val="4BD174D7"/>
    <w:rsid w:val="4BD27F66"/>
    <w:rsid w:val="4BD519D6"/>
    <w:rsid w:val="4BD766E1"/>
    <w:rsid w:val="4BDD6534"/>
    <w:rsid w:val="4BDE1F83"/>
    <w:rsid w:val="4BDF6F8E"/>
    <w:rsid w:val="4BE308F4"/>
    <w:rsid w:val="4BEA18C9"/>
    <w:rsid w:val="4BEA1DA9"/>
    <w:rsid w:val="4BEB5185"/>
    <w:rsid w:val="4BEB6472"/>
    <w:rsid w:val="4BEE3E67"/>
    <w:rsid w:val="4BEF0B27"/>
    <w:rsid w:val="4BF11C64"/>
    <w:rsid w:val="4BF15272"/>
    <w:rsid w:val="4BF27B0D"/>
    <w:rsid w:val="4BFA506D"/>
    <w:rsid w:val="4BFD11F9"/>
    <w:rsid w:val="4C0214A9"/>
    <w:rsid w:val="4C041AD9"/>
    <w:rsid w:val="4C091FE4"/>
    <w:rsid w:val="4C093CBC"/>
    <w:rsid w:val="4C0A192A"/>
    <w:rsid w:val="4C0F1644"/>
    <w:rsid w:val="4C0F5D7E"/>
    <w:rsid w:val="4C1005EB"/>
    <w:rsid w:val="4C133E79"/>
    <w:rsid w:val="4C156F14"/>
    <w:rsid w:val="4C194720"/>
    <w:rsid w:val="4C1D1181"/>
    <w:rsid w:val="4C2231A0"/>
    <w:rsid w:val="4C231EA4"/>
    <w:rsid w:val="4C240E86"/>
    <w:rsid w:val="4C291AFE"/>
    <w:rsid w:val="4C356A2B"/>
    <w:rsid w:val="4C3C5B51"/>
    <w:rsid w:val="4C4023DB"/>
    <w:rsid w:val="4C432B60"/>
    <w:rsid w:val="4C4617C0"/>
    <w:rsid w:val="4C4647B4"/>
    <w:rsid w:val="4C4973A2"/>
    <w:rsid w:val="4C523805"/>
    <w:rsid w:val="4C5C4D3B"/>
    <w:rsid w:val="4C5D0C30"/>
    <w:rsid w:val="4C5D26B6"/>
    <w:rsid w:val="4C5E154E"/>
    <w:rsid w:val="4C5F7D4F"/>
    <w:rsid w:val="4C60134D"/>
    <w:rsid w:val="4C605175"/>
    <w:rsid w:val="4C6211EF"/>
    <w:rsid w:val="4C6247D7"/>
    <w:rsid w:val="4C654C5F"/>
    <w:rsid w:val="4C656276"/>
    <w:rsid w:val="4C674A75"/>
    <w:rsid w:val="4C674AFD"/>
    <w:rsid w:val="4C697BAA"/>
    <w:rsid w:val="4C73448F"/>
    <w:rsid w:val="4C742969"/>
    <w:rsid w:val="4C78351B"/>
    <w:rsid w:val="4C7F7360"/>
    <w:rsid w:val="4C8A4370"/>
    <w:rsid w:val="4C8C4428"/>
    <w:rsid w:val="4C8C4F52"/>
    <w:rsid w:val="4C921CC8"/>
    <w:rsid w:val="4C9405CC"/>
    <w:rsid w:val="4C977E48"/>
    <w:rsid w:val="4C9A6D7D"/>
    <w:rsid w:val="4C9F6199"/>
    <w:rsid w:val="4CA54EA2"/>
    <w:rsid w:val="4CA763F6"/>
    <w:rsid w:val="4CA8144A"/>
    <w:rsid w:val="4CAB5CDB"/>
    <w:rsid w:val="4CAC1E60"/>
    <w:rsid w:val="4CAF57B3"/>
    <w:rsid w:val="4CB15D63"/>
    <w:rsid w:val="4CB3132E"/>
    <w:rsid w:val="4CBA3BD4"/>
    <w:rsid w:val="4CBF1220"/>
    <w:rsid w:val="4CC50E47"/>
    <w:rsid w:val="4CC905F8"/>
    <w:rsid w:val="4CC90DAB"/>
    <w:rsid w:val="4CC95BF3"/>
    <w:rsid w:val="4CCA4329"/>
    <w:rsid w:val="4CD230E0"/>
    <w:rsid w:val="4CD44C91"/>
    <w:rsid w:val="4CD60B2C"/>
    <w:rsid w:val="4CDD1C4E"/>
    <w:rsid w:val="4CDD4092"/>
    <w:rsid w:val="4CDF6B33"/>
    <w:rsid w:val="4CE52321"/>
    <w:rsid w:val="4CE6113C"/>
    <w:rsid w:val="4CED4147"/>
    <w:rsid w:val="4CEF5CBA"/>
    <w:rsid w:val="4CF26AB3"/>
    <w:rsid w:val="4CF51F42"/>
    <w:rsid w:val="4CF549B1"/>
    <w:rsid w:val="4CF728A5"/>
    <w:rsid w:val="4CF8192B"/>
    <w:rsid w:val="4CF86A36"/>
    <w:rsid w:val="4CF90587"/>
    <w:rsid w:val="4CF94CD2"/>
    <w:rsid w:val="4CFF5F2B"/>
    <w:rsid w:val="4D06305E"/>
    <w:rsid w:val="4D07546A"/>
    <w:rsid w:val="4D0E1774"/>
    <w:rsid w:val="4D0F187F"/>
    <w:rsid w:val="4D103C32"/>
    <w:rsid w:val="4D1130CC"/>
    <w:rsid w:val="4D11568C"/>
    <w:rsid w:val="4D1C087F"/>
    <w:rsid w:val="4D207DCC"/>
    <w:rsid w:val="4D255D86"/>
    <w:rsid w:val="4D2730DA"/>
    <w:rsid w:val="4D2A763B"/>
    <w:rsid w:val="4D2D0268"/>
    <w:rsid w:val="4D2D0FCB"/>
    <w:rsid w:val="4D350057"/>
    <w:rsid w:val="4D360436"/>
    <w:rsid w:val="4D3B019E"/>
    <w:rsid w:val="4D3C0A7F"/>
    <w:rsid w:val="4D3C606B"/>
    <w:rsid w:val="4D3F1A84"/>
    <w:rsid w:val="4D3F2693"/>
    <w:rsid w:val="4D46489E"/>
    <w:rsid w:val="4D495C2F"/>
    <w:rsid w:val="4D49781C"/>
    <w:rsid w:val="4D4A4BA4"/>
    <w:rsid w:val="4D4C3154"/>
    <w:rsid w:val="4D4E26AE"/>
    <w:rsid w:val="4D593EF0"/>
    <w:rsid w:val="4D5B1CD7"/>
    <w:rsid w:val="4D5B6455"/>
    <w:rsid w:val="4D5F3370"/>
    <w:rsid w:val="4D624DF9"/>
    <w:rsid w:val="4D653FE5"/>
    <w:rsid w:val="4D6642E5"/>
    <w:rsid w:val="4D6646B7"/>
    <w:rsid w:val="4D6E0465"/>
    <w:rsid w:val="4D732A7D"/>
    <w:rsid w:val="4D734B85"/>
    <w:rsid w:val="4D7F43BD"/>
    <w:rsid w:val="4D8B4019"/>
    <w:rsid w:val="4D9200BF"/>
    <w:rsid w:val="4D934149"/>
    <w:rsid w:val="4D96681E"/>
    <w:rsid w:val="4D9B7914"/>
    <w:rsid w:val="4DA85803"/>
    <w:rsid w:val="4DAA1112"/>
    <w:rsid w:val="4DAF6676"/>
    <w:rsid w:val="4DB001F9"/>
    <w:rsid w:val="4DB01E53"/>
    <w:rsid w:val="4DB51DEB"/>
    <w:rsid w:val="4DB56DF9"/>
    <w:rsid w:val="4DB965D8"/>
    <w:rsid w:val="4DBE173B"/>
    <w:rsid w:val="4DC35E5E"/>
    <w:rsid w:val="4DC70D96"/>
    <w:rsid w:val="4DC87D79"/>
    <w:rsid w:val="4DC96400"/>
    <w:rsid w:val="4DCB533E"/>
    <w:rsid w:val="4DCC0F8F"/>
    <w:rsid w:val="4DD141C6"/>
    <w:rsid w:val="4DD31571"/>
    <w:rsid w:val="4DD31854"/>
    <w:rsid w:val="4DD406F0"/>
    <w:rsid w:val="4DD61AF5"/>
    <w:rsid w:val="4DDB72ED"/>
    <w:rsid w:val="4DDE1E9D"/>
    <w:rsid w:val="4DDF658D"/>
    <w:rsid w:val="4DE1199C"/>
    <w:rsid w:val="4DE83A0D"/>
    <w:rsid w:val="4DEE43C5"/>
    <w:rsid w:val="4DF07B12"/>
    <w:rsid w:val="4DF72ECC"/>
    <w:rsid w:val="4DF92E0A"/>
    <w:rsid w:val="4DFC3EDC"/>
    <w:rsid w:val="4DFD429D"/>
    <w:rsid w:val="4E022A86"/>
    <w:rsid w:val="4E033B6B"/>
    <w:rsid w:val="4E042AD3"/>
    <w:rsid w:val="4E0522FD"/>
    <w:rsid w:val="4E0A1C39"/>
    <w:rsid w:val="4E0C2B52"/>
    <w:rsid w:val="4E116A1E"/>
    <w:rsid w:val="4E127DA7"/>
    <w:rsid w:val="4E1B6407"/>
    <w:rsid w:val="4E1C5758"/>
    <w:rsid w:val="4E201BE5"/>
    <w:rsid w:val="4E244ED4"/>
    <w:rsid w:val="4E2707BB"/>
    <w:rsid w:val="4E303168"/>
    <w:rsid w:val="4E306C84"/>
    <w:rsid w:val="4E326128"/>
    <w:rsid w:val="4E364A86"/>
    <w:rsid w:val="4E3E7ECB"/>
    <w:rsid w:val="4E45452B"/>
    <w:rsid w:val="4E496A5D"/>
    <w:rsid w:val="4E4C54E9"/>
    <w:rsid w:val="4E501A5D"/>
    <w:rsid w:val="4E5114DE"/>
    <w:rsid w:val="4E5353D1"/>
    <w:rsid w:val="4E552E6A"/>
    <w:rsid w:val="4E562CAC"/>
    <w:rsid w:val="4E572BC2"/>
    <w:rsid w:val="4E5B5054"/>
    <w:rsid w:val="4E5C1F53"/>
    <w:rsid w:val="4E5D22A6"/>
    <w:rsid w:val="4E663831"/>
    <w:rsid w:val="4E6C27CA"/>
    <w:rsid w:val="4E731F31"/>
    <w:rsid w:val="4E733392"/>
    <w:rsid w:val="4E760AC1"/>
    <w:rsid w:val="4E762A80"/>
    <w:rsid w:val="4E78321E"/>
    <w:rsid w:val="4E830687"/>
    <w:rsid w:val="4E847671"/>
    <w:rsid w:val="4E8668A0"/>
    <w:rsid w:val="4E8933A9"/>
    <w:rsid w:val="4E8937CC"/>
    <w:rsid w:val="4E8975E6"/>
    <w:rsid w:val="4E8A7711"/>
    <w:rsid w:val="4E8D147A"/>
    <w:rsid w:val="4E8E0BC4"/>
    <w:rsid w:val="4E934407"/>
    <w:rsid w:val="4E9B6503"/>
    <w:rsid w:val="4EB35EB1"/>
    <w:rsid w:val="4EB4397D"/>
    <w:rsid w:val="4EC33D27"/>
    <w:rsid w:val="4ECF7A7D"/>
    <w:rsid w:val="4ED16296"/>
    <w:rsid w:val="4ED31A53"/>
    <w:rsid w:val="4EDA4EFF"/>
    <w:rsid w:val="4EDB2F70"/>
    <w:rsid w:val="4EDB530D"/>
    <w:rsid w:val="4EDC1D55"/>
    <w:rsid w:val="4EE14290"/>
    <w:rsid w:val="4EE51018"/>
    <w:rsid w:val="4EE6172C"/>
    <w:rsid w:val="4EE665C2"/>
    <w:rsid w:val="4EEB5E17"/>
    <w:rsid w:val="4EF51F07"/>
    <w:rsid w:val="4EFA0F67"/>
    <w:rsid w:val="4F0026A9"/>
    <w:rsid w:val="4F020E05"/>
    <w:rsid w:val="4F045619"/>
    <w:rsid w:val="4F0C4340"/>
    <w:rsid w:val="4F105751"/>
    <w:rsid w:val="4F1B7430"/>
    <w:rsid w:val="4F1C07D7"/>
    <w:rsid w:val="4F1D6A04"/>
    <w:rsid w:val="4F1D6D00"/>
    <w:rsid w:val="4F1F0C0E"/>
    <w:rsid w:val="4F1F684F"/>
    <w:rsid w:val="4F28452E"/>
    <w:rsid w:val="4F2860DB"/>
    <w:rsid w:val="4F2F13F7"/>
    <w:rsid w:val="4F3350CC"/>
    <w:rsid w:val="4F363D3B"/>
    <w:rsid w:val="4F38294D"/>
    <w:rsid w:val="4F3864B9"/>
    <w:rsid w:val="4F3B4610"/>
    <w:rsid w:val="4F3D10D8"/>
    <w:rsid w:val="4F3D32DF"/>
    <w:rsid w:val="4F3D61A4"/>
    <w:rsid w:val="4F3F102B"/>
    <w:rsid w:val="4F43141F"/>
    <w:rsid w:val="4F437B1B"/>
    <w:rsid w:val="4F546E6A"/>
    <w:rsid w:val="4F5B4A57"/>
    <w:rsid w:val="4F5B796A"/>
    <w:rsid w:val="4F5E6851"/>
    <w:rsid w:val="4F6862CB"/>
    <w:rsid w:val="4F695319"/>
    <w:rsid w:val="4F6B628F"/>
    <w:rsid w:val="4F6C60E0"/>
    <w:rsid w:val="4F752A93"/>
    <w:rsid w:val="4F761019"/>
    <w:rsid w:val="4F763FFF"/>
    <w:rsid w:val="4F783A78"/>
    <w:rsid w:val="4F7B09A3"/>
    <w:rsid w:val="4F7B49B9"/>
    <w:rsid w:val="4F81348E"/>
    <w:rsid w:val="4F83553C"/>
    <w:rsid w:val="4F8414D3"/>
    <w:rsid w:val="4F8E37AA"/>
    <w:rsid w:val="4F8E73EA"/>
    <w:rsid w:val="4F911FDE"/>
    <w:rsid w:val="4F930A03"/>
    <w:rsid w:val="4F940D06"/>
    <w:rsid w:val="4F963523"/>
    <w:rsid w:val="4F992070"/>
    <w:rsid w:val="4F9958CC"/>
    <w:rsid w:val="4FA20D30"/>
    <w:rsid w:val="4FA34364"/>
    <w:rsid w:val="4FA45453"/>
    <w:rsid w:val="4FA54C33"/>
    <w:rsid w:val="4FA57204"/>
    <w:rsid w:val="4FA86BE9"/>
    <w:rsid w:val="4FA87182"/>
    <w:rsid w:val="4FB171C8"/>
    <w:rsid w:val="4FB178C4"/>
    <w:rsid w:val="4FB254DD"/>
    <w:rsid w:val="4FB26DD0"/>
    <w:rsid w:val="4FB45527"/>
    <w:rsid w:val="4FBA158A"/>
    <w:rsid w:val="4FBA24A4"/>
    <w:rsid w:val="4FBB3C78"/>
    <w:rsid w:val="4FC05EEA"/>
    <w:rsid w:val="4FC60738"/>
    <w:rsid w:val="4FC76226"/>
    <w:rsid w:val="4FC84742"/>
    <w:rsid w:val="4FCE4610"/>
    <w:rsid w:val="4FCE533A"/>
    <w:rsid w:val="4FD02DA3"/>
    <w:rsid w:val="4FD376CA"/>
    <w:rsid w:val="4FD5108C"/>
    <w:rsid w:val="4FD91531"/>
    <w:rsid w:val="4FDD47EB"/>
    <w:rsid w:val="4FDE405D"/>
    <w:rsid w:val="4FDF1F0B"/>
    <w:rsid w:val="4FE043AF"/>
    <w:rsid w:val="4FE27207"/>
    <w:rsid w:val="4FE46AB8"/>
    <w:rsid w:val="4FE667B8"/>
    <w:rsid w:val="4FF225D3"/>
    <w:rsid w:val="4FF23B92"/>
    <w:rsid w:val="4FF81158"/>
    <w:rsid w:val="4FF93783"/>
    <w:rsid w:val="4FFD4054"/>
    <w:rsid w:val="4FFD5601"/>
    <w:rsid w:val="4FFE600A"/>
    <w:rsid w:val="500119A0"/>
    <w:rsid w:val="50030878"/>
    <w:rsid w:val="500310E1"/>
    <w:rsid w:val="500F6D9D"/>
    <w:rsid w:val="50120F12"/>
    <w:rsid w:val="50183373"/>
    <w:rsid w:val="501E54B6"/>
    <w:rsid w:val="501F7364"/>
    <w:rsid w:val="50232A01"/>
    <w:rsid w:val="50244A97"/>
    <w:rsid w:val="502831F7"/>
    <w:rsid w:val="50334005"/>
    <w:rsid w:val="5033741C"/>
    <w:rsid w:val="504339EF"/>
    <w:rsid w:val="504A1767"/>
    <w:rsid w:val="505149ED"/>
    <w:rsid w:val="505C46F0"/>
    <w:rsid w:val="506616A5"/>
    <w:rsid w:val="50670196"/>
    <w:rsid w:val="506A4350"/>
    <w:rsid w:val="506D6DD8"/>
    <w:rsid w:val="506F5945"/>
    <w:rsid w:val="507228DD"/>
    <w:rsid w:val="50737936"/>
    <w:rsid w:val="507410A5"/>
    <w:rsid w:val="507619DB"/>
    <w:rsid w:val="50762872"/>
    <w:rsid w:val="50777F92"/>
    <w:rsid w:val="507F227B"/>
    <w:rsid w:val="50850D04"/>
    <w:rsid w:val="508759A3"/>
    <w:rsid w:val="508819F7"/>
    <w:rsid w:val="50882CA4"/>
    <w:rsid w:val="50884351"/>
    <w:rsid w:val="508C74EE"/>
    <w:rsid w:val="509012A9"/>
    <w:rsid w:val="5093473D"/>
    <w:rsid w:val="50936BC9"/>
    <w:rsid w:val="509372F9"/>
    <w:rsid w:val="5099285E"/>
    <w:rsid w:val="509C7F01"/>
    <w:rsid w:val="50A10CDF"/>
    <w:rsid w:val="50A3118B"/>
    <w:rsid w:val="50A432B8"/>
    <w:rsid w:val="50A83E01"/>
    <w:rsid w:val="50AA5E79"/>
    <w:rsid w:val="50B02A45"/>
    <w:rsid w:val="50B17E07"/>
    <w:rsid w:val="50B56FCD"/>
    <w:rsid w:val="50B75230"/>
    <w:rsid w:val="50BC0E8D"/>
    <w:rsid w:val="50BE3368"/>
    <w:rsid w:val="50C10C3B"/>
    <w:rsid w:val="50C72A60"/>
    <w:rsid w:val="50C97190"/>
    <w:rsid w:val="50CA581A"/>
    <w:rsid w:val="50CD25B1"/>
    <w:rsid w:val="50D05CDC"/>
    <w:rsid w:val="50D23F09"/>
    <w:rsid w:val="50D406E4"/>
    <w:rsid w:val="50DC7B93"/>
    <w:rsid w:val="50DD7570"/>
    <w:rsid w:val="50E01FE2"/>
    <w:rsid w:val="50E14970"/>
    <w:rsid w:val="50E3655E"/>
    <w:rsid w:val="50E378D9"/>
    <w:rsid w:val="50E72FD6"/>
    <w:rsid w:val="50F47C38"/>
    <w:rsid w:val="50F81383"/>
    <w:rsid w:val="50FF1DF4"/>
    <w:rsid w:val="510146C5"/>
    <w:rsid w:val="51060978"/>
    <w:rsid w:val="51080C90"/>
    <w:rsid w:val="51106878"/>
    <w:rsid w:val="51277947"/>
    <w:rsid w:val="51294BFF"/>
    <w:rsid w:val="512B51C3"/>
    <w:rsid w:val="512E2254"/>
    <w:rsid w:val="51300F59"/>
    <w:rsid w:val="51306048"/>
    <w:rsid w:val="51316796"/>
    <w:rsid w:val="51360EF7"/>
    <w:rsid w:val="51375F03"/>
    <w:rsid w:val="513932FA"/>
    <w:rsid w:val="51437A55"/>
    <w:rsid w:val="51456198"/>
    <w:rsid w:val="5146727B"/>
    <w:rsid w:val="514965D5"/>
    <w:rsid w:val="514A5338"/>
    <w:rsid w:val="514C44C0"/>
    <w:rsid w:val="51557685"/>
    <w:rsid w:val="5157466F"/>
    <w:rsid w:val="516F462F"/>
    <w:rsid w:val="51710A9F"/>
    <w:rsid w:val="517A5C8C"/>
    <w:rsid w:val="517C1CEF"/>
    <w:rsid w:val="517D2F6F"/>
    <w:rsid w:val="51815066"/>
    <w:rsid w:val="51821E10"/>
    <w:rsid w:val="51874CBB"/>
    <w:rsid w:val="518C3723"/>
    <w:rsid w:val="518E31F9"/>
    <w:rsid w:val="51997391"/>
    <w:rsid w:val="51A478EE"/>
    <w:rsid w:val="51A97060"/>
    <w:rsid w:val="51AC43FF"/>
    <w:rsid w:val="51B33A49"/>
    <w:rsid w:val="51B77599"/>
    <w:rsid w:val="51BB61D8"/>
    <w:rsid w:val="51BF06DD"/>
    <w:rsid w:val="51BF3DF9"/>
    <w:rsid w:val="51C55FAC"/>
    <w:rsid w:val="51C85ACC"/>
    <w:rsid w:val="51CA5FB5"/>
    <w:rsid w:val="51D55F06"/>
    <w:rsid w:val="51DF00FA"/>
    <w:rsid w:val="51DF2A75"/>
    <w:rsid w:val="51E648FA"/>
    <w:rsid w:val="51E66395"/>
    <w:rsid w:val="51E74EDE"/>
    <w:rsid w:val="51EE1654"/>
    <w:rsid w:val="51F4001A"/>
    <w:rsid w:val="51FA68C4"/>
    <w:rsid w:val="51FF1DF8"/>
    <w:rsid w:val="51FF78F5"/>
    <w:rsid w:val="52010E4D"/>
    <w:rsid w:val="5208466F"/>
    <w:rsid w:val="52106D6D"/>
    <w:rsid w:val="521A54A9"/>
    <w:rsid w:val="521A7E99"/>
    <w:rsid w:val="521B4DC0"/>
    <w:rsid w:val="521B74BD"/>
    <w:rsid w:val="522110BB"/>
    <w:rsid w:val="52217E71"/>
    <w:rsid w:val="522520CB"/>
    <w:rsid w:val="52271947"/>
    <w:rsid w:val="522B7F81"/>
    <w:rsid w:val="52330559"/>
    <w:rsid w:val="52355182"/>
    <w:rsid w:val="52375757"/>
    <w:rsid w:val="523772A6"/>
    <w:rsid w:val="52395172"/>
    <w:rsid w:val="523A12EC"/>
    <w:rsid w:val="523C4FD5"/>
    <w:rsid w:val="523E1F05"/>
    <w:rsid w:val="5240258B"/>
    <w:rsid w:val="524B77C7"/>
    <w:rsid w:val="52512897"/>
    <w:rsid w:val="525407CB"/>
    <w:rsid w:val="52557398"/>
    <w:rsid w:val="5256365E"/>
    <w:rsid w:val="525B0D52"/>
    <w:rsid w:val="525C062F"/>
    <w:rsid w:val="52655576"/>
    <w:rsid w:val="526D79B7"/>
    <w:rsid w:val="52716F43"/>
    <w:rsid w:val="527225CA"/>
    <w:rsid w:val="52761E1B"/>
    <w:rsid w:val="5277348C"/>
    <w:rsid w:val="527E7178"/>
    <w:rsid w:val="527F1783"/>
    <w:rsid w:val="527F5BB4"/>
    <w:rsid w:val="52875202"/>
    <w:rsid w:val="52891A83"/>
    <w:rsid w:val="52897042"/>
    <w:rsid w:val="528E761B"/>
    <w:rsid w:val="52910142"/>
    <w:rsid w:val="5293529F"/>
    <w:rsid w:val="529365E8"/>
    <w:rsid w:val="5298463E"/>
    <w:rsid w:val="52AC5074"/>
    <w:rsid w:val="52B33992"/>
    <w:rsid w:val="52B45D08"/>
    <w:rsid w:val="52B71448"/>
    <w:rsid w:val="52BC1CE9"/>
    <w:rsid w:val="52BF447C"/>
    <w:rsid w:val="52BF48F6"/>
    <w:rsid w:val="52C607E1"/>
    <w:rsid w:val="52C80A63"/>
    <w:rsid w:val="52CA36DB"/>
    <w:rsid w:val="52CD174F"/>
    <w:rsid w:val="52D05143"/>
    <w:rsid w:val="52D32093"/>
    <w:rsid w:val="52D33DBA"/>
    <w:rsid w:val="52D62CCB"/>
    <w:rsid w:val="52D6533F"/>
    <w:rsid w:val="52DA159E"/>
    <w:rsid w:val="52DB2573"/>
    <w:rsid w:val="52E37854"/>
    <w:rsid w:val="52E463E5"/>
    <w:rsid w:val="52E47767"/>
    <w:rsid w:val="52E600BF"/>
    <w:rsid w:val="52E767E5"/>
    <w:rsid w:val="52E806D1"/>
    <w:rsid w:val="52E8557B"/>
    <w:rsid w:val="52EA206B"/>
    <w:rsid w:val="52EA61D7"/>
    <w:rsid w:val="52EF57AA"/>
    <w:rsid w:val="52F27A2E"/>
    <w:rsid w:val="52FB7AF3"/>
    <w:rsid w:val="52FE3EF0"/>
    <w:rsid w:val="52FF1DF0"/>
    <w:rsid w:val="53057058"/>
    <w:rsid w:val="530A7AF8"/>
    <w:rsid w:val="530C1675"/>
    <w:rsid w:val="530E7ABE"/>
    <w:rsid w:val="53157432"/>
    <w:rsid w:val="531C032D"/>
    <w:rsid w:val="531E7A0C"/>
    <w:rsid w:val="532619CA"/>
    <w:rsid w:val="53305EE3"/>
    <w:rsid w:val="53314CDA"/>
    <w:rsid w:val="53397B84"/>
    <w:rsid w:val="533F7540"/>
    <w:rsid w:val="534549D7"/>
    <w:rsid w:val="5347085A"/>
    <w:rsid w:val="535175B4"/>
    <w:rsid w:val="5354181C"/>
    <w:rsid w:val="535A69C5"/>
    <w:rsid w:val="535F3914"/>
    <w:rsid w:val="535F4EFE"/>
    <w:rsid w:val="5361611D"/>
    <w:rsid w:val="536614E2"/>
    <w:rsid w:val="53682313"/>
    <w:rsid w:val="53691709"/>
    <w:rsid w:val="53692B3F"/>
    <w:rsid w:val="536A7546"/>
    <w:rsid w:val="536B378C"/>
    <w:rsid w:val="537C7B5D"/>
    <w:rsid w:val="538516CE"/>
    <w:rsid w:val="53857560"/>
    <w:rsid w:val="538B3969"/>
    <w:rsid w:val="538C26E0"/>
    <w:rsid w:val="538F63CC"/>
    <w:rsid w:val="539878AC"/>
    <w:rsid w:val="539A1F26"/>
    <w:rsid w:val="539E2B83"/>
    <w:rsid w:val="53A92FA1"/>
    <w:rsid w:val="53B95618"/>
    <w:rsid w:val="53BE379E"/>
    <w:rsid w:val="53C1418F"/>
    <w:rsid w:val="53C30C88"/>
    <w:rsid w:val="53C70F9C"/>
    <w:rsid w:val="53CD0C7C"/>
    <w:rsid w:val="53D224B3"/>
    <w:rsid w:val="53D97ADA"/>
    <w:rsid w:val="53E21FCA"/>
    <w:rsid w:val="53EB7352"/>
    <w:rsid w:val="53EC3999"/>
    <w:rsid w:val="53EF0F1D"/>
    <w:rsid w:val="53F82A2A"/>
    <w:rsid w:val="53FB4033"/>
    <w:rsid w:val="53FC28B9"/>
    <w:rsid w:val="53FE4AA8"/>
    <w:rsid w:val="53FE5F8C"/>
    <w:rsid w:val="54007BE2"/>
    <w:rsid w:val="540A0F03"/>
    <w:rsid w:val="540B1521"/>
    <w:rsid w:val="54171892"/>
    <w:rsid w:val="5418246A"/>
    <w:rsid w:val="541A156F"/>
    <w:rsid w:val="54203AAA"/>
    <w:rsid w:val="54213438"/>
    <w:rsid w:val="54224E03"/>
    <w:rsid w:val="5424586F"/>
    <w:rsid w:val="54252C8D"/>
    <w:rsid w:val="54293CB7"/>
    <w:rsid w:val="54294A6F"/>
    <w:rsid w:val="542B0A2C"/>
    <w:rsid w:val="543523D2"/>
    <w:rsid w:val="54352C2A"/>
    <w:rsid w:val="54384577"/>
    <w:rsid w:val="54386FF2"/>
    <w:rsid w:val="543B6AE2"/>
    <w:rsid w:val="543D4FF6"/>
    <w:rsid w:val="543D7B79"/>
    <w:rsid w:val="54400950"/>
    <w:rsid w:val="54406A61"/>
    <w:rsid w:val="54456BE9"/>
    <w:rsid w:val="544C1170"/>
    <w:rsid w:val="544C46BF"/>
    <w:rsid w:val="544D517E"/>
    <w:rsid w:val="544D7FEB"/>
    <w:rsid w:val="54506C10"/>
    <w:rsid w:val="5450702F"/>
    <w:rsid w:val="54565033"/>
    <w:rsid w:val="54594DFC"/>
    <w:rsid w:val="5461753C"/>
    <w:rsid w:val="5462741E"/>
    <w:rsid w:val="54662E65"/>
    <w:rsid w:val="54687D7F"/>
    <w:rsid w:val="546919B6"/>
    <w:rsid w:val="546A3292"/>
    <w:rsid w:val="546A743F"/>
    <w:rsid w:val="546B7AFD"/>
    <w:rsid w:val="546F0C1C"/>
    <w:rsid w:val="546F79AB"/>
    <w:rsid w:val="547033C8"/>
    <w:rsid w:val="54737F64"/>
    <w:rsid w:val="54787FAB"/>
    <w:rsid w:val="54794B2F"/>
    <w:rsid w:val="547A3E36"/>
    <w:rsid w:val="547B689D"/>
    <w:rsid w:val="547C1347"/>
    <w:rsid w:val="54872547"/>
    <w:rsid w:val="548E1158"/>
    <w:rsid w:val="54987ECD"/>
    <w:rsid w:val="549D2C59"/>
    <w:rsid w:val="54A267CF"/>
    <w:rsid w:val="54A5655A"/>
    <w:rsid w:val="54B063F1"/>
    <w:rsid w:val="54B42A49"/>
    <w:rsid w:val="54B83705"/>
    <w:rsid w:val="54B86811"/>
    <w:rsid w:val="54B95111"/>
    <w:rsid w:val="54B95421"/>
    <w:rsid w:val="54BD5770"/>
    <w:rsid w:val="54BF78B3"/>
    <w:rsid w:val="54C142D5"/>
    <w:rsid w:val="54C243F2"/>
    <w:rsid w:val="54CD5231"/>
    <w:rsid w:val="54CE13D0"/>
    <w:rsid w:val="54D1697B"/>
    <w:rsid w:val="54D33EC1"/>
    <w:rsid w:val="54D57B46"/>
    <w:rsid w:val="54DC21DA"/>
    <w:rsid w:val="54E21834"/>
    <w:rsid w:val="54E57574"/>
    <w:rsid w:val="54E620CB"/>
    <w:rsid w:val="54E73025"/>
    <w:rsid w:val="54E8067B"/>
    <w:rsid w:val="54E974C8"/>
    <w:rsid w:val="54ED1ABF"/>
    <w:rsid w:val="54EE2F1E"/>
    <w:rsid w:val="54F56501"/>
    <w:rsid w:val="54FF6023"/>
    <w:rsid w:val="550110F3"/>
    <w:rsid w:val="550348EE"/>
    <w:rsid w:val="550550F4"/>
    <w:rsid w:val="5505544A"/>
    <w:rsid w:val="550908A1"/>
    <w:rsid w:val="55095FBE"/>
    <w:rsid w:val="550A493C"/>
    <w:rsid w:val="550B5242"/>
    <w:rsid w:val="5518232C"/>
    <w:rsid w:val="551C27EA"/>
    <w:rsid w:val="551C5886"/>
    <w:rsid w:val="551C6D86"/>
    <w:rsid w:val="551D5CAE"/>
    <w:rsid w:val="551E1549"/>
    <w:rsid w:val="55234B5D"/>
    <w:rsid w:val="552778C8"/>
    <w:rsid w:val="55293172"/>
    <w:rsid w:val="552971B1"/>
    <w:rsid w:val="552A7CBC"/>
    <w:rsid w:val="552D13D4"/>
    <w:rsid w:val="552F5806"/>
    <w:rsid w:val="55314511"/>
    <w:rsid w:val="55320D2F"/>
    <w:rsid w:val="553C0987"/>
    <w:rsid w:val="55406C84"/>
    <w:rsid w:val="55427CA0"/>
    <w:rsid w:val="554311A8"/>
    <w:rsid w:val="55487B08"/>
    <w:rsid w:val="554A14D7"/>
    <w:rsid w:val="554D039D"/>
    <w:rsid w:val="55566B9C"/>
    <w:rsid w:val="5560047B"/>
    <w:rsid w:val="55602455"/>
    <w:rsid w:val="556833CA"/>
    <w:rsid w:val="55690BF5"/>
    <w:rsid w:val="556B4147"/>
    <w:rsid w:val="556C5FEF"/>
    <w:rsid w:val="556D3362"/>
    <w:rsid w:val="556F0683"/>
    <w:rsid w:val="55757167"/>
    <w:rsid w:val="55762D19"/>
    <w:rsid w:val="55765EAC"/>
    <w:rsid w:val="55803A18"/>
    <w:rsid w:val="55812F6E"/>
    <w:rsid w:val="5583769D"/>
    <w:rsid w:val="55854C4C"/>
    <w:rsid w:val="558C41C4"/>
    <w:rsid w:val="5591268A"/>
    <w:rsid w:val="559128DB"/>
    <w:rsid w:val="55922583"/>
    <w:rsid w:val="55932227"/>
    <w:rsid w:val="559730A6"/>
    <w:rsid w:val="559A2EDC"/>
    <w:rsid w:val="559A552E"/>
    <w:rsid w:val="559A7E8E"/>
    <w:rsid w:val="559C6ACB"/>
    <w:rsid w:val="55A235B0"/>
    <w:rsid w:val="55A66212"/>
    <w:rsid w:val="55A73C6F"/>
    <w:rsid w:val="55AD4DF3"/>
    <w:rsid w:val="55B41A29"/>
    <w:rsid w:val="55B43E18"/>
    <w:rsid w:val="55B545D0"/>
    <w:rsid w:val="55B623DE"/>
    <w:rsid w:val="55BC1D0E"/>
    <w:rsid w:val="55BD0D0D"/>
    <w:rsid w:val="55BD6E51"/>
    <w:rsid w:val="55C05E96"/>
    <w:rsid w:val="55C51E89"/>
    <w:rsid w:val="55C662D4"/>
    <w:rsid w:val="55CB1D74"/>
    <w:rsid w:val="55D43B94"/>
    <w:rsid w:val="55D70810"/>
    <w:rsid w:val="55D9001F"/>
    <w:rsid w:val="55E71FE9"/>
    <w:rsid w:val="55E82583"/>
    <w:rsid w:val="55EA0C0A"/>
    <w:rsid w:val="55ED6A75"/>
    <w:rsid w:val="55F26E4F"/>
    <w:rsid w:val="55F400C3"/>
    <w:rsid w:val="55F6042E"/>
    <w:rsid w:val="55F8610E"/>
    <w:rsid w:val="55F915D1"/>
    <w:rsid w:val="55F94966"/>
    <w:rsid w:val="56001010"/>
    <w:rsid w:val="560273AF"/>
    <w:rsid w:val="560718F8"/>
    <w:rsid w:val="56102E2B"/>
    <w:rsid w:val="56137A48"/>
    <w:rsid w:val="56144389"/>
    <w:rsid w:val="561649E4"/>
    <w:rsid w:val="56185C73"/>
    <w:rsid w:val="56197B80"/>
    <w:rsid w:val="561C1FA3"/>
    <w:rsid w:val="56222FBB"/>
    <w:rsid w:val="56241B05"/>
    <w:rsid w:val="562A4581"/>
    <w:rsid w:val="562C0F30"/>
    <w:rsid w:val="56334712"/>
    <w:rsid w:val="56334D1A"/>
    <w:rsid w:val="56334F80"/>
    <w:rsid w:val="56374994"/>
    <w:rsid w:val="563B4D5F"/>
    <w:rsid w:val="563F3703"/>
    <w:rsid w:val="56414861"/>
    <w:rsid w:val="56477D77"/>
    <w:rsid w:val="564B3E56"/>
    <w:rsid w:val="565039C1"/>
    <w:rsid w:val="56541751"/>
    <w:rsid w:val="56553338"/>
    <w:rsid w:val="565A6F06"/>
    <w:rsid w:val="565B6DE0"/>
    <w:rsid w:val="565F5D3B"/>
    <w:rsid w:val="56617610"/>
    <w:rsid w:val="56622DB3"/>
    <w:rsid w:val="5665435D"/>
    <w:rsid w:val="566F229C"/>
    <w:rsid w:val="56716FCA"/>
    <w:rsid w:val="56771604"/>
    <w:rsid w:val="56785295"/>
    <w:rsid w:val="567C3B49"/>
    <w:rsid w:val="567F5E9C"/>
    <w:rsid w:val="56863687"/>
    <w:rsid w:val="56867584"/>
    <w:rsid w:val="568928F7"/>
    <w:rsid w:val="568C5294"/>
    <w:rsid w:val="568E2D7E"/>
    <w:rsid w:val="568E6439"/>
    <w:rsid w:val="569660E7"/>
    <w:rsid w:val="569B6F37"/>
    <w:rsid w:val="56A23EB8"/>
    <w:rsid w:val="56A33C92"/>
    <w:rsid w:val="56A57771"/>
    <w:rsid w:val="56A703F1"/>
    <w:rsid w:val="56B6337E"/>
    <w:rsid w:val="56B93264"/>
    <w:rsid w:val="56BF614E"/>
    <w:rsid w:val="56C14717"/>
    <w:rsid w:val="56C36FB4"/>
    <w:rsid w:val="56C56027"/>
    <w:rsid w:val="56C64514"/>
    <w:rsid w:val="56C7557F"/>
    <w:rsid w:val="56C8719D"/>
    <w:rsid w:val="56C871E1"/>
    <w:rsid w:val="56C92FF2"/>
    <w:rsid w:val="56CA2C4C"/>
    <w:rsid w:val="56CB5372"/>
    <w:rsid w:val="56CF1117"/>
    <w:rsid w:val="56D15B11"/>
    <w:rsid w:val="56D32936"/>
    <w:rsid w:val="56D41B73"/>
    <w:rsid w:val="56D64252"/>
    <w:rsid w:val="56DD6598"/>
    <w:rsid w:val="56E11368"/>
    <w:rsid w:val="56E61DD1"/>
    <w:rsid w:val="56F75D8C"/>
    <w:rsid w:val="56F8012C"/>
    <w:rsid w:val="56F941E2"/>
    <w:rsid w:val="57030457"/>
    <w:rsid w:val="57032F72"/>
    <w:rsid w:val="57062473"/>
    <w:rsid w:val="570E1AAD"/>
    <w:rsid w:val="57163F13"/>
    <w:rsid w:val="572503D5"/>
    <w:rsid w:val="57251418"/>
    <w:rsid w:val="5726041F"/>
    <w:rsid w:val="572D1BC8"/>
    <w:rsid w:val="57320425"/>
    <w:rsid w:val="57332E5E"/>
    <w:rsid w:val="57345DD0"/>
    <w:rsid w:val="573568B4"/>
    <w:rsid w:val="57387F75"/>
    <w:rsid w:val="57430D65"/>
    <w:rsid w:val="5746634C"/>
    <w:rsid w:val="574901F7"/>
    <w:rsid w:val="57500F2A"/>
    <w:rsid w:val="575463A3"/>
    <w:rsid w:val="57550C32"/>
    <w:rsid w:val="57554E3C"/>
    <w:rsid w:val="575A0577"/>
    <w:rsid w:val="57601E89"/>
    <w:rsid w:val="576500F2"/>
    <w:rsid w:val="576D1577"/>
    <w:rsid w:val="5772400D"/>
    <w:rsid w:val="577508CE"/>
    <w:rsid w:val="57883375"/>
    <w:rsid w:val="578A2603"/>
    <w:rsid w:val="578B2344"/>
    <w:rsid w:val="578D5815"/>
    <w:rsid w:val="578D72EF"/>
    <w:rsid w:val="57945E0C"/>
    <w:rsid w:val="5796471B"/>
    <w:rsid w:val="579A2471"/>
    <w:rsid w:val="579B44A4"/>
    <w:rsid w:val="579D3DD8"/>
    <w:rsid w:val="579E445A"/>
    <w:rsid w:val="57A14E8C"/>
    <w:rsid w:val="57A743DA"/>
    <w:rsid w:val="57A8088F"/>
    <w:rsid w:val="57AF385A"/>
    <w:rsid w:val="57AF7E50"/>
    <w:rsid w:val="57B06A04"/>
    <w:rsid w:val="57C11F7C"/>
    <w:rsid w:val="57C71C02"/>
    <w:rsid w:val="57C84362"/>
    <w:rsid w:val="57C922DF"/>
    <w:rsid w:val="57CC52BF"/>
    <w:rsid w:val="57CD3A14"/>
    <w:rsid w:val="57CE0942"/>
    <w:rsid w:val="57D50006"/>
    <w:rsid w:val="57D82A89"/>
    <w:rsid w:val="57E46731"/>
    <w:rsid w:val="57E52DF7"/>
    <w:rsid w:val="57E70550"/>
    <w:rsid w:val="57E83927"/>
    <w:rsid w:val="57E84851"/>
    <w:rsid w:val="57F366A7"/>
    <w:rsid w:val="57F53FC9"/>
    <w:rsid w:val="58005114"/>
    <w:rsid w:val="58046BB1"/>
    <w:rsid w:val="58075875"/>
    <w:rsid w:val="58092E7D"/>
    <w:rsid w:val="580B0590"/>
    <w:rsid w:val="580E077E"/>
    <w:rsid w:val="580E7D9D"/>
    <w:rsid w:val="58106D66"/>
    <w:rsid w:val="581110D0"/>
    <w:rsid w:val="58145994"/>
    <w:rsid w:val="58146D66"/>
    <w:rsid w:val="581C10DD"/>
    <w:rsid w:val="582232DD"/>
    <w:rsid w:val="58231981"/>
    <w:rsid w:val="5829727B"/>
    <w:rsid w:val="582F707B"/>
    <w:rsid w:val="58303ED8"/>
    <w:rsid w:val="58330623"/>
    <w:rsid w:val="58331ABE"/>
    <w:rsid w:val="58346F8C"/>
    <w:rsid w:val="583D7750"/>
    <w:rsid w:val="584176B7"/>
    <w:rsid w:val="584C2617"/>
    <w:rsid w:val="584D796D"/>
    <w:rsid w:val="584E413C"/>
    <w:rsid w:val="58503286"/>
    <w:rsid w:val="58503494"/>
    <w:rsid w:val="58594EAD"/>
    <w:rsid w:val="585B3D1F"/>
    <w:rsid w:val="585C2C2B"/>
    <w:rsid w:val="586B0E11"/>
    <w:rsid w:val="586D42D4"/>
    <w:rsid w:val="58704530"/>
    <w:rsid w:val="58715233"/>
    <w:rsid w:val="5873375B"/>
    <w:rsid w:val="58745FD9"/>
    <w:rsid w:val="5878230E"/>
    <w:rsid w:val="58783461"/>
    <w:rsid w:val="58801AB8"/>
    <w:rsid w:val="58805DEA"/>
    <w:rsid w:val="58932877"/>
    <w:rsid w:val="589539E0"/>
    <w:rsid w:val="5895790C"/>
    <w:rsid w:val="58997706"/>
    <w:rsid w:val="589A1792"/>
    <w:rsid w:val="589D6739"/>
    <w:rsid w:val="58A81743"/>
    <w:rsid w:val="58A973B0"/>
    <w:rsid w:val="58AB5CE1"/>
    <w:rsid w:val="58AC11EE"/>
    <w:rsid w:val="58AC3571"/>
    <w:rsid w:val="58AD5C74"/>
    <w:rsid w:val="58AE74FF"/>
    <w:rsid w:val="58B249BD"/>
    <w:rsid w:val="58BA38E5"/>
    <w:rsid w:val="58BB5A85"/>
    <w:rsid w:val="58C42AD0"/>
    <w:rsid w:val="58C52EF9"/>
    <w:rsid w:val="58C8503B"/>
    <w:rsid w:val="58CA1518"/>
    <w:rsid w:val="58CC3C95"/>
    <w:rsid w:val="58CD149A"/>
    <w:rsid w:val="58D505FC"/>
    <w:rsid w:val="58D75519"/>
    <w:rsid w:val="58DB2EE0"/>
    <w:rsid w:val="58DE3F87"/>
    <w:rsid w:val="58DE69A2"/>
    <w:rsid w:val="58E023E2"/>
    <w:rsid w:val="58E208CF"/>
    <w:rsid w:val="58E62661"/>
    <w:rsid w:val="58E80082"/>
    <w:rsid w:val="58E9778D"/>
    <w:rsid w:val="58EB3373"/>
    <w:rsid w:val="58F23B8C"/>
    <w:rsid w:val="58F24F3D"/>
    <w:rsid w:val="58FA6008"/>
    <w:rsid w:val="59053258"/>
    <w:rsid w:val="59065BAA"/>
    <w:rsid w:val="59074952"/>
    <w:rsid w:val="59083615"/>
    <w:rsid w:val="591266F1"/>
    <w:rsid w:val="591714A6"/>
    <w:rsid w:val="59222C2E"/>
    <w:rsid w:val="592752A2"/>
    <w:rsid w:val="592C3329"/>
    <w:rsid w:val="5932090B"/>
    <w:rsid w:val="59327CF7"/>
    <w:rsid w:val="593F7A23"/>
    <w:rsid w:val="594666C4"/>
    <w:rsid w:val="59475BB2"/>
    <w:rsid w:val="594837C5"/>
    <w:rsid w:val="594C0F80"/>
    <w:rsid w:val="594C4D73"/>
    <w:rsid w:val="595548DE"/>
    <w:rsid w:val="59592D2E"/>
    <w:rsid w:val="5960606E"/>
    <w:rsid w:val="5969782B"/>
    <w:rsid w:val="596E42C2"/>
    <w:rsid w:val="59720647"/>
    <w:rsid w:val="59747DE8"/>
    <w:rsid w:val="59750E4E"/>
    <w:rsid w:val="59761B53"/>
    <w:rsid w:val="59762BEA"/>
    <w:rsid w:val="597F4321"/>
    <w:rsid w:val="5984507F"/>
    <w:rsid w:val="598A730D"/>
    <w:rsid w:val="598C49FD"/>
    <w:rsid w:val="598C64F2"/>
    <w:rsid w:val="598F1921"/>
    <w:rsid w:val="59902FB5"/>
    <w:rsid w:val="59975CDB"/>
    <w:rsid w:val="599E3A65"/>
    <w:rsid w:val="599F2CF0"/>
    <w:rsid w:val="599F46E4"/>
    <w:rsid w:val="59A84200"/>
    <w:rsid w:val="59A85EA7"/>
    <w:rsid w:val="59A93BBD"/>
    <w:rsid w:val="59B04782"/>
    <w:rsid w:val="59B3617C"/>
    <w:rsid w:val="59B64DC9"/>
    <w:rsid w:val="59BA5469"/>
    <w:rsid w:val="59BF67D8"/>
    <w:rsid w:val="59C30A67"/>
    <w:rsid w:val="59C34444"/>
    <w:rsid w:val="59C9612E"/>
    <w:rsid w:val="59CA6ADA"/>
    <w:rsid w:val="59CC2166"/>
    <w:rsid w:val="59D14832"/>
    <w:rsid w:val="59D56783"/>
    <w:rsid w:val="59D75CC8"/>
    <w:rsid w:val="59D9425A"/>
    <w:rsid w:val="59DE4113"/>
    <w:rsid w:val="59E32FA0"/>
    <w:rsid w:val="59E54DF7"/>
    <w:rsid w:val="59F40B69"/>
    <w:rsid w:val="59F54EEA"/>
    <w:rsid w:val="59F56CA4"/>
    <w:rsid w:val="59FC728E"/>
    <w:rsid w:val="5A003638"/>
    <w:rsid w:val="5A02224F"/>
    <w:rsid w:val="5A0D1891"/>
    <w:rsid w:val="5A0D64B4"/>
    <w:rsid w:val="5A0E50D1"/>
    <w:rsid w:val="5A177FA8"/>
    <w:rsid w:val="5A185707"/>
    <w:rsid w:val="5A3317D1"/>
    <w:rsid w:val="5A3649A4"/>
    <w:rsid w:val="5A390554"/>
    <w:rsid w:val="5A3A3256"/>
    <w:rsid w:val="5A3A3E66"/>
    <w:rsid w:val="5A3F01DC"/>
    <w:rsid w:val="5A411B51"/>
    <w:rsid w:val="5A4B2280"/>
    <w:rsid w:val="5A4D3261"/>
    <w:rsid w:val="5A4E5937"/>
    <w:rsid w:val="5A4F6E7C"/>
    <w:rsid w:val="5A512031"/>
    <w:rsid w:val="5A5B3A6C"/>
    <w:rsid w:val="5A5E3CBB"/>
    <w:rsid w:val="5A5F4374"/>
    <w:rsid w:val="5A610FAD"/>
    <w:rsid w:val="5A671923"/>
    <w:rsid w:val="5A6975D1"/>
    <w:rsid w:val="5A713C31"/>
    <w:rsid w:val="5A743A34"/>
    <w:rsid w:val="5A756B04"/>
    <w:rsid w:val="5A770634"/>
    <w:rsid w:val="5A7D5271"/>
    <w:rsid w:val="5A8313A0"/>
    <w:rsid w:val="5A8378C2"/>
    <w:rsid w:val="5A8A69C1"/>
    <w:rsid w:val="5A8B0DAA"/>
    <w:rsid w:val="5A8C10F9"/>
    <w:rsid w:val="5A8D52EE"/>
    <w:rsid w:val="5A8E6A07"/>
    <w:rsid w:val="5A910050"/>
    <w:rsid w:val="5A91393A"/>
    <w:rsid w:val="5A960931"/>
    <w:rsid w:val="5A970EB8"/>
    <w:rsid w:val="5A9951B9"/>
    <w:rsid w:val="5A9972CB"/>
    <w:rsid w:val="5A9D5D6E"/>
    <w:rsid w:val="5A9F349C"/>
    <w:rsid w:val="5AA303D8"/>
    <w:rsid w:val="5AA83358"/>
    <w:rsid w:val="5AA8641B"/>
    <w:rsid w:val="5AAE0124"/>
    <w:rsid w:val="5AAF6363"/>
    <w:rsid w:val="5AB0006C"/>
    <w:rsid w:val="5AB74720"/>
    <w:rsid w:val="5AB74FD6"/>
    <w:rsid w:val="5AB97227"/>
    <w:rsid w:val="5ABE334F"/>
    <w:rsid w:val="5ABF6B4D"/>
    <w:rsid w:val="5AC056BD"/>
    <w:rsid w:val="5ACA482B"/>
    <w:rsid w:val="5ACB0A52"/>
    <w:rsid w:val="5ACF0683"/>
    <w:rsid w:val="5ACF3BB3"/>
    <w:rsid w:val="5AD11018"/>
    <w:rsid w:val="5AD45622"/>
    <w:rsid w:val="5AD563E4"/>
    <w:rsid w:val="5AD67B32"/>
    <w:rsid w:val="5ADE62B2"/>
    <w:rsid w:val="5AE13857"/>
    <w:rsid w:val="5AE2208C"/>
    <w:rsid w:val="5AE45E81"/>
    <w:rsid w:val="5AE5438A"/>
    <w:rsid w:val="5AE62FC7"/>
    <w:rsid w:val="5AE73888"/>
    <w:rsid w:val="5AE740CE"/>
    <w:rsid w:val="5AEB2794"/>
    <w:rsid w:val="5AEB2BB4"/>
    <w:rsid w:val="5AEC2250"/>
    <w:rsid w:val="5AEE74A6"/>
    <w:rsid w:val="5AF6693E"/>
    <w:rsid w:val="5AF87091"/>
    <w:rsid w:val="5AFA1219"/>
    <w:rsid w:val="5AFA6CCB"/>
    <w:rsid w:val="5AFC5741"/>
    <w:rsid w:val="5AFD2BA7"/>
    <w:rsid w:val="5AFD4D8C"/>
    <w:rsid w:val="5AFF3058"/>
    <w:rsid w:val="5AFF7E14"/>
    <w:rsid w:val="5B022B43"/>
    <w:rsid w:val="5B046A24"/>
    <w:rsid w:val="5B047BA8"/>
    <w:rsid w:val="5B062CB1"/>
    <w:rsid w:val="5B097DE0"/>
    <w:rsid w:val="5B0B656C"/>
    <w:rsid w:val="5B166F3F"/>
    <w:rsid w:val="5B1B3AFF"/>
    <w:rsid w:val="5B1C2554"/>
    <w:rsid w:val="5B1E00A7"/>
    <w:rsid w:val="5B221791"/>
    <w:rsid w:val="5B260C2E"/>
    <w:rsid w:val="5B265AF1"/>
    <w:rsid w:val="5B266919"/>
    <w:rsid w:val="5B2852C2"/>
    <w:rsid w:val="5B2E74C8"/>
    <w:rsid w:val="5B333E73"/>
    <w:rsid w:val="5B3350AE"/>
    <w:rsid w:val="5B3D2C8A"/>
    <w:rsid w:val="5B40692A"/>
    <w:rsid w:val="5B411808"/>
    <w:rsid w:val="5B423528"/>
    <w:rsid w:val="5B453393"/>
    <w:rsid w:val="5B4549D9"/>
    <w:rsid w:val="5B4C3C1B"/>
    <w:rsid w:val="5B4D68C3"/>
    <w:rsid w:val="5B4E1632"/>
    <w:rsid w:val="5B4F6A8E"/>
    <w:rsid w:val="5B587CA6"/>
    <w:rsid w:val="5B602CC3"/>
    <w:rsid w:val="5B64400B"/>
    <w:rsid w:val="5B675852"/>
    <w:rsid w:val="5B6D5E5C"/>
    <w:rsid w:val="5B6E4C1D"/>
    <w:rsid w:val="5B752CC3"/>
    <w:rsid w:val="5B753C64"/>
    <w:rsid w:val="5B762F88"/>
    <w:rsid w:val="5B771F8A"/>
    <w:rsid w:val="5B7A0ADD"/>
    <w:rsid w:val="5B7B3430"/>
    <w:rsid w:val="5B862F1D"/>
    <w:rsid w:val="5B8E0544"/>
    <w:rsid w:val="5B914448"/>
    <w:rsid w:val="5B925523"/>
    <w:rsid w:val="5BA14F76"/>
    <w:rsid w:val="5BA30452"/>
    <w:rsid w:val="5BAF6C35"/>
    <w:rsid w:val="5BB004CE"/>
    <w:rsid w:val="5BB14C52"/>
    <w:rsid w:val="5BB46F47"/>
    <w:rsid w:val="5BB80F78"/>
    <w:rsid w:val="5BBB2601"/>
    <w:rsid w:val="5BBC0D13"/>
    <w:rsid w:val="5BBD25EA"/>
    <w:rsid w:val="5BCA1742"/>
    <w:rsid w:val="5BCA35FC"/>
    <w:rsid w:val="5BD346BA"/>
    <w:rsid w:val="5BDD39F8"/>
    <w:rsid w:val="5BDD3A1D"/>
    <w:rsid w:val="5BDE107D"/>
    <w:rsid w:val="5BE54823"/>
    <w:rsid w:val="5BE61ACD"/>
    <w:rsid w:val="5BE726FA"/>
    <w:rsid w:val="5BFB4D90"/>
    <w:rsid w:val="5C004071"/>
    <w:rsid w:val="5C0841DE"/>
    <w:rsid w:val="5C092BAC"/>
    <w:rsid w:val="5C0C5267"/>
    <w:rsid w:val="5C0C5B50"/>
    <w:rsid w:val="5C1438D7"/>
    <w:rsid w:val="5C1A09E1"/>
    <w:rsid w:val="5C1A2F95"/>
    <w:rsid w:val="5C2203B0"/>
    <w:rsid w:val="5C26006B"/>
    <w:rsid w:val="5C2A4B1E"/>
    <w:rsid w:val="5C2B0BB0"/>
    <w:rsid w:val="5C344927"/>
    <w:rsid w:val="5C35179C"/>
    <w:rsid w:val="5C363650"/>
    <w:rsid w:val="5C3B53F0"/>
    <w:rsid w:val="5C3C083F"/>
    <w:rsid w:val="5C3E1260"/>
    <w:rsid w:val="5C4434F6"/>
    <w:rsid w:val="5C534CF4"/>
    <w:rsid w:val="5C557150"/>
    <w:rsid w:val="5C5F1538"/>
    <w:rsid w:val="5C617355"/>
    <w:rsid w:val="5C71622D"/>
    <w:rsid w:val="5C721D2F"/>
    <w:rsid w:val="5C761DF8"/>
    <w:rsid w:val="5C780F29"/>
    <w:rsid w:val="5C79574C"/>
    <w:rsid w:val="5C7D0B22"/>
    <w:rsid w:val="5C836EEA"/>
    <w:rsid w:val="5C863562"/>
    <w:rsid w:val="5C8704C2"/>
    <w:rsid w:val="5C873176"/>
    <w:rsid w:val="5C9762D5"/>
    <w:rsid w:val="5C9C020D"/>
    <w:rsid w:val="5C9C1B83"/>
    <w:rsid w:val="5CA10094"/>
    <w:rsid w:val="5CA3751A"/>
    <w:rsid w:val="5CAD0CEB"/>
    <w:rsid w:val="5CAD3FD8"/>
    <w:rsid w:val="5CB25542"/>
    <w:rsid w:val="5CB320DC"/>
    <w:rsid w:val="5CBA0EF7"/>
    <w:rsid w:val="5CBB7FBD"/>
    <w:rsid w:val="5CC36B29"/>
    <w:rsid w:val="5CC50165"/>
    <w:rsid w:val="5CC60498"/>
    <w:rsid w:val="5CC8117D"/>
    <w:rsid w:val="5CC92DE4"/>
    <w:rsid w:val="5CCE3A33"/>
    <w:rsid w:val="5CD121F1"/>
    <w:rsid w:val="5CD2518D"/>
    <w:rsid w:val="5CD45212"/>
    <w:rsid w:val="5CD73F76"/>
    <w:rsid w:val="5CDB0C72"/>
    <w:rsid w:val="5CDD0560"/>
    <w:rsid w:val="5CDF2F7B"/>
    <w:rsid w:val="5CDF46D2"/>
    <w:rsid w:val="5CE2672D"/>
    <w:rsid w:val="5CE829B3"/>
    <w:rsid w:val="5CED4DFC"/>
    <w:rsid w:val="5CEF152B"/>
    <w:rsid w:val="5CF56593"/>
    <w:rsid w:val="5CF86626"/>
    <w:rsid w:val="5CFB088B"/>
    <w:rsid w:val="5CFD3543"/>
    <w:rsid w:val="5CFD79A3"/>
    <w:rsid w:val="5CFF2B0F"/>
    <w:rsid w:val="5D000D10"/>
    <w:rsid w:val="5D020670"/>
    <w:rsid w:val="5D051878"/>
    <w:rsid w:val="5D0F40F9"/>
    <w:rsid w:val="5D0F4217"/>
    <w:rsid w:val="5D14134D"/>
    <w:rsid w:val="5D1645F1"/>
    <w:rsid w:val="5D177CED"/>
    <w:rsid w:val="5D18201D"/>
    <w:rsid w:val="5D186502"/>
    <w:rsid w:val="5D1F2CA3"/>
    <w:rsid w:val="5D1F428F"/>
    <w:rsid w:val="5D243B18"/>
    <w:rsid w:val="5D273A2B"/>
    <w:rsid w:val="5D280F18"/>
    <w:rsid w:val="5D292A17"/>
    <w:rsid w:val="5D2A428D"/>
    <w:rsid w:val="5D2E268E"/>
    <w:rsid w:val="5D303E0C"/>
    <w:rsid w:val="5D31787D"/>
    <w:rsid w:val="5D376850"/>
    <w:rsid w:val="5D3F0F28"/>
    <w:rsid w:val="5D40758D"/>
    <w:rsid w:val="5D43500C"/>
    <w:rsid w:val="5D444E1F"/>
    <w:rsid w:val="5D4472F4"/>
    <w:rsid w:val="5D473FCE"/>
    <w:rsid w:val="5D4C18F2"/>
    <w:rsid w:val="5D543940"/>
    <w:rsid w:val="5D5D152B"/>
    <w:rsid w:val="5D627AF2"/>
    <w:rsid w:val="5D661999"/>
    <w:rsid w:val="5D68532C"/>
    <w:rsid w:val="5D6C3A06"/>
    <w:rsid w:val="5D6C4DC6"/>
    <w:rsid w:val="5D7316C3"/>
    <w:rsid w:val="5D744ED9"/>
    <w:rsid w:val="5D7A7965"/>
    <w:rsid w:val="5D7C3AA3"/>
    <w:rsid w:val="5D8009F8"/>
    <w:rsid w:val="5D830551"/>
    <w:rsid w:val="5D862601"/>
    <w:rsid w:val="5D86342B"/>
    <w:rsid w:val="5D8857F7"/>
    <w:rsid w:val="5D916C31"/>
    <w:rsid w:val="5D923D01"/>
    <w:rsid w:val="5D9471B5"/>
    <w:rsid w:val="5D9875CE"/>
    <w:rsid w:val="5D9B2907"/>
    <w:rsid w:val="5D9C6656"/>
    <w:rsid w:val="5DA35A77"/>
    <w:rsid w:val="5DA956C2"/>
    <w:rsid w:val="5DAB12FC"/>
    <w:rsid w:val="5DAE09AE"/>
    <w:rsid w:val="5DAF19E1"/>
    <w:rsid w:val="5DAF5CF0"/>
    <w:rsid w:val="5DB049DD"/>
    <w:rsid w:val="5DB11DCD"/>
    <w:rsid w:val="5DB46DF4"/>
    <w:rsid w:val="5DB7003A"/>
    <w:rsid w:val="5DB76AD6"/>
    <w:rsid w:val="5DBA2435"/>
    <w:rsid w:val="5DBE7118"/>
    <w:rsid w:val="5DC15AE8"/>
    <w:rsid w:val="5DC84A54"/>
    <w:rsid w:val="5DCC4538"/>
    <w:rsid w:val="5DCD3DA9"/>
    <w:rsid w:val="5DCF085D"/>
    <w:rsid w:val="5DD3043F"/>
    <w:rsid w:val="5DD410D5"/>
    <w:rsid w:val="5DD673A8"/>
    <w:rsid w:val="5DD752D4"/>
    <w:rsid w:val="5DD852A3"/>
    <w:rsid w:val="5DDB7FF7"/>
    <w:rsid w:val="5DDC28F0"/>
    <w:rsid w:val="5DDC6157"/>
    <w:rsid w:val="5DDC61E5"/>
    <w:rsid w:val="5DDC778B"/>
    <w:rsid w:val="5DDF0798"/>
    <w:rsid w:val="5DDF7EDA"/>
    <w:rsid w:val="5DE210A8"/>
    <w:rsid w:val="5DE60077"/>
    <w:rsid w:val="5DE772C7"/>
    <w:rsid w:val="5DEA4ACA"/>
    <w:rsid w:val="5DEE60B4"/>
    <w:rsid w:val="5DEF5355"/>
    <w:rsid w:val="5DF07F14"/>
    <w:rsid w:val="5DF5297C"/>
    <w:rsid w:val="5DF75879"/>
    <w:rsid w:val="5DFA5AB6"/>
    <w:rsid w:val="5DFF6B6A"/>
    <w:rsid w:val="5E0130AD"/>
    <w:rsid w:val="5E047E85"/>
    <w:rsid w:val="5E074A62"/>
    <w:rsid w:val="5E09608D"/>
    <w:rsid w:val="5E0C6B14"/>
    <w:rsid w:val="5E102B26"/>
    <w:rsid w:val="5E220317"/>
    <w:rsid w:val="5E24597A"/>
    <w:rsid w:val="5E2B4323"/>
    <w:rsid w:val="5E303C7D"/>
    <w:rsid w:val="5E315A9B"/>
    <w:rsid w:val="5E325B81"/>
    <w:rsid w:val="5E36075D"/>
    <w:rsid w:val="5E36363E"/>
    <w:rsid w:val="5E367B43"/>
    <w:rsid w:val="5E394590"/>
    <w:rsid w:val="5E397A0A"/>
    <w:rsid w:val="5E4332DD"/>
    <w:rsid w:val="5E44407F"/>
    <w:rsid w:val="5E4E580A"/>
    <w:rsid w:val="5E5573A2"/>
    <w:rsid w:val="5E58054E"/>
    <w:rsid w:val="5E5845F3"/>
    <w:rsid w:val="5E595A96"/>
    <w:rsid w:val="5E5A3223"/>
    <w:rsid w:val="5E5B0146"/>
    <w:rsid w:val="5E67188A"/>
    <w:rsid w:val="5E683A98"/>
    <w:rsid w:val="5E694EA1"/>
    <w:rsid w:val="5E6A1E47"/>
    <w:rsid w:val="5E703D05"/>
    <w:rsid w:val="5E7158F3"/>
    <w:rsid w:val="5E7303BC"/>
    <w:rsid w:val="5E730906"/>
    <w:rsid w:val="5E7A41FC"/>
    <w:rsid w:val="5E7D037A"/>
    <w:rsid w:val="5E8136D2"/>
    <w:rsid w:val="5E84112C"/>
    <w:rsid w:val="5E845DFE"/>
    <w:rsid w:val="5E8D7E94"/>
    <w:rsid w:val="5E8F2F78"/>
    <w:rsid w:val="5E910665"/>
    <w:rsid w:val="5E9E4607"/>
    <w:rsid w:val="5EA14CC2"/>
    <w:rsid w:val="5EA518E3"/>
    <w:rsid w:val="5EA83318"/>
    <w:rsid w:val="5EA95279"/>
    <w:rsid w:val="5EAB597B"/>
    <w:rsid w:val="5EAC4B3B"/>
    <w:rsid w:val="5EB32830"/>
    <w:rsid w:val="5EB40104"/>
    <w:rsid w:val="5EB66AE6"/>
    <w:rsid w:val="5EBA30BA"/>
    <w:rsid w:val="5EC300B4"/>
    <w:rsid w:val="5EC40C4A"/>
    <w:rsid w:val="5EC65687"/>
    <w:rsid w:val="5EC768A3"/>
    <w:rsid w:val="5ECA4F06"/>
    <w:rsid w:val="5ECD7FB2"/>
    <w:rsid w:val="5ECF1BC8"/>
    <w:rsid w:val="5ECF72E0"/>
    <w:rsid w:val="5ED84272"/>
    <w:rsid w:val="5ED85DE0"/>
    <w:rsid w:val="5EDE2580"/>
    <w:rsid w:val="5EEB3902"/>
    <w:rsid w:val="5EEB3A83"/>
    <w:rsid w:val="5EEE5CC7"/>
    <w:rsid w:val="5EF50FCF"/>
    <w:rsid w:val="5EF62DCD"/>
    <w:rsid w:val="5F024A3E"/>
    <w:rsid w:val="5F0260AB"/>
    <w:rsid w:val="5F047289"/>
    <w:rsid w:val="5F093212"/>
    <w:rsid w:val="5F0F6418"/>
    <w:rsid w:val="5F152A67"/>
    <w:rsid w:val="5F152FBD"/>
    <w:rsid w:val="5F1541A4"/>
    <w:rsid w:val="5F1B3F0F"/>
    <w:rsid w:val="5F1C398A"/>
    <w:rsid w:val="5F1D2799"/>
    <w:rsid w:val="5F1E048B"/>
    <w:rsid w:val="5F232698"/>
    <w:rsid w:val="5F2405D2"/>
    <w:rsid w:val="5F24418D"/>
    <w:rsid w:val="5F2444E2"/>
    <w:rsid w:val="5F244A2F"/>
    <w:rsid w:val="5F245505"/>
    <w:rsid w:val="5F27291A"/>
    <w:rsid w:val="5F294F51"/>
    <w:rsid w:val="5F2C38C8"/>
    <w:rsid w:val="5F2D3E2E"/>
    <w:rsid w:val="5F334C10"/>
    <w:rsid w:val="5F3758C0"/>
    <w:rsid w:val="5F393B4A"/>
    <w:rsid w:val="5F4144A4"/>
    <w:rsid w:val="5F4208A3"/>
    <w:rsid w:val="5F4A6DE2"/>
    <w:rsid w:val="5F5C4C5B"/>
    <w:rsid w:val="5F61299B"/>
    <w:rsid w:val="5F642AD0"/>
    <w:rsid w:val="5F657CEC"/>
    <w:rsid w:val="5F6610C0"/>
    <w:rsid w:val="5F6B62AD"/>
    <w:rsid w:val="5F6C786A"/>
    <w:rsid w:val="5F7022C9"/>
    <w:rsid w:val="5F7174B0"/>
    <w:rsid w:val="5F724B4A"/>
    <w:rsid w:val="5F744D31"/>
    <w:rsid w:val="5F781CD5"/>
    <w:rsid w:val="5F792F8C"/>
    <w:rsid w:val="5F7B2BA2"/>
    <w:rsid w:val="5F7E7400"/>
    <w:rsid w:val="5F7F3A7D"/>
    <w:rsid w:val="5F814916"/>
    <w:rsid w:val="5F8A4038"/>
    <w:rsid w:val="5F8E1EE2"/>
    <w:rsid w:val="5F931F6E"/>
    <w:rsid w:val="5F95586C"/>
    <w:rsid w:val="5F9B19CF"/>
    <w:rsid w:val="5F9C6679"/>
    <w:rsid w:val="5F9F2FBD"/>
    <w:rsid w:val="5FA26223"/>
    <w:rsid w:val="5FA35006"/>
    <w:rsid w:val="5FA610BD"/>
    <w:rsid w:val="5FA7238F"/>
    <w:rsid w:val="5FA871C6"/>
    <w:rsid w:val="5FB078A5"/>
    <w:rsid w:val="5FB118A0"/>
    <w:rsid w:val="5FB76811"/>
    <w:rsid w:val="5FBD532E"/>
    <w:rsid w:val="5FC02C55"/>
    <w:rsid w:val="5FC04B5B"/>
    <w:rsid w:val="5FC37B2E"/>
    <w:rsid w:val="5FD069F2"/>
    <w:rsid w:val="5FD44346"/>
    <w:rsid w:val="5FD659C4"/>
    <w:rsid w:val="5FD81BCA"/>
    <w:rsid w:val="5FDA15C3"/>
    <w:rsid w:val="5FDD0A8A"/>
    <w:rsid w:val="5FDE62F8"/>
    <w:rsid w:val="5FDF642E"/>
    <w:rsid w:val="5FE13ABB"/>
    <w:rsid w:val="5FE41DAB"/>
    <w:rsid w:val="5FE47E9A"/>
    <w:rsid w:val="5FE72C16"/>
    <w:rsid w:val="5FEA09A1"/>
    <w:rsid w:val="5FED2422"/>
    <w:rsid w:val="5FF17C28"/>
    <w:rsid w:val="5FF2655B"/>
    <w:rsid w:val="5FF43D83"/>
    <w:rsid w:val="5FF72B09"/>
    <w:rsid w:val="5FF861D5"/>
    <w:rsid w:val="5FF97679"/>
    <w:rsid w:val="5FFA4D2F"/>
    <w:rsid w:val="5FFC6A89"/>
    <w:rsid w:val="5FFE0CBF"/>
    <w:rsid w:val="60051940"/>
    <w:rsid w:val="600576F7"/>
    <w:rsid w:val="60086A6E"/>
    <w:rsid w:val="601510DD"/>
    <w:rsid w:val="6015635B"/>
    <w:rsid w:val="601709E6"/>
    <w:rsid w:val="601B3E50"/>
    <w:rsid w:val="60234871"/>
    <w:rsid w:val="6025347F"/>
    <w:rsid w:val="603408BA"/>
    <w:rsid w:val="60362A1B"/>
    <w:rsid w:val="60384D65"/>
    <w:rsid w:val="604162CA"/>
    <w:rsid w:val="60422E74"/>
    <w:rsid w:val="604B4ED6"/>
    <w:rsid w:val="605405BB"/>
    <w:rsid w:val="605A0836"/>
    <w:rsid w:val="605E50CE"/>
    <w:rsid w:val="60665466"/>
    <w:rsid w:val="6066553B"/>
    <w:rsid w:val="606C1426"/>
    <w:rsid w:val="6071002F"/>
    <w:rsid w:val="60732927"/>
    <w:rsid w:val="60773768"/>
    <w:rsid w:val="60787D16"/>
    <w:rsid w:val="60795595"/>
    <w:rsid w:val="607E78AF"/>
    <w:rsid w:val="60817610"/>
    <w:rsid w:val="60832F11"/>
    <w:rsid w:val="60851D64"/>
    <w:rsid w:val="608B223A"/>
    <w:rsid w:val="608D29B4"/>
    <w:rsid w:val="608E3148"/>
    <w:rsid w:val="60905385"/>
    <w:rsid w:val="609979C5"/>
    <w:rsid w:val="609A3679"/>
    <w:rsid w:val="609B2EE1"/>
    <w:rsid w:val="609F3840"/>
    <w:rsid w:val="60A11310"/>
    <w:rsid w:val="60A37D7A"/>
    <w:rsid w:val="60A52855"/>
    <w:rsid w:val="60A9560C"/>
    <w:rsid w:val="60AB4DCC"/>
    <w:rsid w:val="60AC5DA5"/>
    <w:rsid w:val="60B347A7"/>
    <w:rsid w:val="60B46D4E"/>
    <w:rsid w:val="60B5121B"/>
    <w:rsid w:val="60B54E28"/>
    <w:rsid w:val="60B66A62"/>
    <w:rsid w:val="60B844AA"/>
    <w:rsid w:val="60BD6E88"/>
    <w:rsid w:val="60BF6BDF"/>
    <w:rsid w:val="60C06C9A"/>
    <w:rsid w:val="60C27902"/>
    <w:rsid w:val="60C31102"/>
    <w:rsid w:val="60C54626"/>
    <w:rsid w:val="60CE5086"/>
    <w:rsid w:val="60D030FE"/>
    <w:rsid w:val="60D1764E"/>
    <w:rsid w:val="60DD4226"/>
    <w:rsid w:val="60E0600B"/>
    <w:rsid w:val="60E477B9"/>
    <w:rsid w:val="60E620E5"/>
    <w:rsid w:val="60E81555"/>
    <w:rsid w:val="60E97CAE"/>
    <w:rsid w:val="60E97D1C"/>
    <w:rsid w:val="60F20EEE"/>
    <w:rsid w:val="60F30BF6"/>
    <w:rsid w:val="60F345FF"/>
    <w:rsid w:val="60F350B5"/>
    <w:rsid w:val="60F527B4"/>
    <w:rsid w:val="60FD2770"/>
    <w:rsid w:val="610430E9"/>
    <w:rsid w:val="610720AC"/>
    <w:rsid w:val="61090383"/>
    <w:rsid w:val="610D7DCF"/>
    <w:rsid w:val="611A7247"/>
    <w:rsid w:val="611D2185"/>
    <w:rsid w:val="612123BF"/>
    <w:rsid w:val="61263C54"/>
    <w:rsid w:val="6127104A"/>
    <w:rsid w:val="61284B52"/>
    <w:rsid w:val="612B4FB0"/>
    <w:rsid w:val="612C3810"/>
    <w:rsid w:val="612C3CBD"/>
    <w:rsid w:val="612C73BF"/>
    <w:rsid w:val="61331864"/>
    <w:rsid w:val="61357C66"/>
    <w:rsid w:val="613740E7"/>
    <w:rsid w:val="6138383D"/>
    <w:rsid w:val="613A1697"/>
    <w:rsid w:val="613C5DB4"/>
    <w:rsid w:val="6143708B"/>
    <w:rsid w:val="614601C9"/>
    <w:rsid w:val="61471AB2"/>
    <w:rsid w:val="6148570A"/>
    <w:rsid w:val="614A244D"/>
    <w:rsid w:val="614D0E94"/>
    <w:rsid w:val="614F4349"/>
    <w:rsid w:val="6151252B"/>
    <w:rsid w:val="6155368A"/>
    <w:rsid w:val="61591858"/>
    <w:rsid w:val="616139B5"/>
    <w:rsid w:val="61614E76"/>
    <w:rsid w:val="616340E2"/>
    <w:rsid w:val="61644F33"/>
    <w:rsid w:val="616825CC"/>
    <w:rsid w:val="616D2C4E"/>
    <w:rsid w:val="616D796F"/>
    <w:rsid w:val="617376AF"/>
    <w:rsid w:val="6179000C"/>
    <w:rsid w:val="617D3130"/>
    <w:rsid w:val="61840B64"/>
    <w:rsid w:val="61841D14"/>
    <w:rsid w:val="618F3F3C"/>
    <w:rsid w:val="61911645"/>
    <w:rsid w:val="6193143F"/>
    <w:rsid w:val="619324FE"/>
    <w:rsid w:val="61994676"/>
    <w:rsid w:val="61A3494B"/>
    <w:rsid w:val="61A77F78"/>
    <w:rsid w:val="61A86691"/>
    <w:rsid w:val="61AE2895"/>
    <w:rsid w:val="61B26DCF"/>
    <w:rsid w:val="61B33EB1"/>
    <w:rsid w:val="61B76864"/>
    <w:rsid w:val="61B817F5"/>
    <w:rsid w:val="61BE5E24"/>
    <w:rsid w:val="61BF1F8A"/>
    <w:rsid w:val="61C06E29"/>
    <w:rsid w:val="61C930C4"/>
    <w:rsid w:val="61D417C5"/>
    <w:rsid w:val="61D45436"/>
    <w:rsid w:val="61D715A0"/>
    <w:rsid w:val="61DA0784"/>
    <w:rsid w:val="61DE59C0"/>
    <w:rsid w:val="61E50A5F"/>
    <w:rsid w:val="61E66291"/>
    <w:rsid w:val="61E8443C"/>
    <w:rsid w:val="61E909C7"/>
    <w:rsid w:val="61EA0C13"/>
    <w:rsid w:val="61EF6EFC"/>
    <w:rsid w:val="61F519E5"/>
    <w:rsid w:val="6206540B"/>
    <w:rsid w:val="620B5B65"/>
    <w:rsid w:val="621A7DAC"/>
    <w:rsid w:val="621F399A"/>
    <w:rsid w:val="622360AE"/>
    <w:rsid w:val="622749D4"/>
    <w:rsid w:val="622C098F"/>
    <w:rsid w:val="622D0583"/>
    <w:rsid w:val="622E7727"/>
    <w:rsid w:val="622F4E1C"/>
    <w:rsid w:val="6232279E"/>
    <w:rsid w:val="62386365"/>
    <w:rsid w:val="623C7C77"/>
    <w:rsid w:val="623F1E66"/>
    <w:rsid w:val="623F644F"/>
    <w:rsid w:val="62494FD4"/>
    <w:rsid w:val="624E5BC2"/>
    <w:rsid w:val="62516C98"/>
    <w:rsid w:val="625625D9"/>
    <w:rsid w:val="62574435"/>
    <w:rsid w:val="625F19CE"/>
    <w:rsid w:val="62634E0B"/>
    <w:rsid w:val="626962B3"/>
    <w:rsid w:val="626A66E8"/>
    <w:rsid w:val="626B5E5F"/>
    <w:rsid w:val="626F084A"/>
    <w:rsid w:val="62752150"/>
    <w:rsid w:val="628064A2"/>
    <w:rsid w:val="62864468"/>
    <w:rsid w:val="6289176D"/>
    <w:rsid w:val="62892369"/>
    <w:rsid w:val="628A2C06"/>
    <w:rsid w:val="628B7E12"/>
    <w:rsid w:val="62906A9C"/>
    <w:rsid w:val="62914F9E"/>
    <w:rsid w:val="62922E0D"/>
    <w:rsid w:val="62972A2A"/>
    <w:rsid w:val="62A23AF2"/>
    <w:rsid w:val="62AC49A7"/>
    <w:rsid w:val="62B02B92"/>
    <w:rsid w:val="62B05A67"/>
    <w:rsid w:val="62B673A6"/>
    <w:rsid w:val="62BD5F5D"/>
    <w:rsid w:val="62BE2037"/>
    <w:rsid w:val="62BF2105"/>
    <w:rsid w:val="62C05BCC"/>
    <w:rsid w:val="62C14BBE"/>
    <w:rsid w:val="62C21E48"/>
    <w:rsid w:val="62C3026E"/>
    <w:rsid w:val="62C929CF"/>
    <w:rsid w:val="62CC3286"/>
    <w:rsid w:val="62D02B6F"/>
    <w:rsid w:val="62D075CA"/>
    <w:rsid w:val="62D32FD6"/>
    <w:rsid w:val="62D37403"/>
    <w:rsid w:val="62D85FB3"/>
    <w:rsid w:val="62E01E5D"/>
    <w:rsid w:val="62E31FA0"/>
    <w:rsid w:val="62E33B4C"/>
    <w:rsid w:val="62E40188"/>
    <w:rsid w:val="62E42E8A"/>
    <w:rsid w:val="62EB190C"/>
    <w:rsid w:val="62EB4743"/>
    <w:rsid w:val="62EB733F"/>
    <w:rsid w:val="62F24E7E"/>
    <w:rsid w:val="62F253B0"/>
    <w:rsid w:val="62F74FC9"/>
    <w:rsid w:val="62F91A94"/>
    <w:rsid w:val="62FA3132"/>
    <w:rsid w:val="62FC2FFE"/>
    <w:rsid w:val="630022F9"/>
    <w:rsid w:val="63023864"/>
    <w:rsid w:val="63023C31"/>
    <w:rsid w:val="63050EFA"/>
    <w:rsid w:val="630511AE"/>
    <w:rsid w:val="63056169"/>
    <w:rsid w:val="630C53E1"/>
    <w:rsid w:val="63100884"/>
    <w:rsid w:val="63152B80"/>
    <w:rsid w:val="63156C63"/>
    <w:rsid w:val="631C0C7D"/>
    <w:rsid w:val="631C7C21"/>
    <w:rsid w:val="631F0B45"/>
    <w:rsid w:val="63206343"/>
    <w:rsid w:val="63246554"/>
    <w:rsid w:val="632A189F"/>
    <w:rsid w:val="632B73B6"/>
    <w:rsid w:val="63302D52"/>
    <w:rsid w:val="63322515"/>
    <w:rsid w:val="63354264"/>
    <w:rsid w:val="6340567D"/>
    <w:rsid w:val="634339BD"/>
    <w:rsid w:val="6344538C"/>
    <w:rsid w:val="63451008"/>
    <w:rsid w:val="63466AD8"/>
    <w:rsid w:val="63521CEE"/>
    <w:rsid w:val="635350F0"/>
    <w:rsid w:val="6357170C"/>
    <w:rsid w:val="635C5CB7"/>
    <w:rsid w:val="635E163C"/>
    <w:rsid w:val="63613549"/>
    <w:rsid w:val="63627991"/>
    <w:rsid w:val="636849AC"/>
    <w:rsid w:val="63692BBE"/>
    <w:rsid w:val="636B03F6"/>
    <w:rsid w:val="636E0999"/>
    <w:rsid w:val="63720D03"/>
    <w:rsid w:val="637470E0"/>
    <w:rsid w:val="6381611E"/>
    <w:rsid w:val="638165B3"/>
    <w:rsid w:val="6384254C"/>
    <w:rsid w:val="63856C8B"/>
    <w:rsid w:val="638900E3"/>
    <w:rsid w:val="6389592C"/>
    <w:rsid w:val="638F76AB"/>
    <w:rsid w:val="63910498"/>
    <w:rsid w:val="639826A5"/>
    <w:rsid w:val="639E7CA9"/>
    <w:rsid w:val="63A27A4F"/>
    <w:rsid w:val="63A53962"/>
    <w:rsid w:val="63A64DC2"/>
    <w:rsid w:val="63A723FE"/>
    <w:rsid w:val="63A813F9"/>
    <w:rsid w:val="63AE00DC"/>
    <w:rsid w:val="63AE07BE"/>
    <w:rsid w:val="63B43E39"/>
    <w:rsid w:val="63B518DC"/>
    <w:rsid w:val="63B622E7"/>
    <w:rsid w:val="63B90AF7"/>
    <w:rsid w:val="63BE03E5"/>
    <w:rsid w:val="63BE3176"/>
    <w:rsid w:val="63C2653D"/>
    <w:rsid w:val="63C46338"/>
    <w:rsid w:val="63CB3BC2"/>
    <w:rsid w:val="63CD4D68"/>
    <w:rsid w:val="63CE7DA9"/>
    <w:rsid w:val="63D14A11"/>
    <w:rsid w:val="63D22F09"/>
    <w:rsid w:val="63D43DC4"/>
    <w:rsid w:val="63D54231"/>
    <w:rsid w:val="63D662AE"/>
    <w:rsid w:val="63DB32A8"/>
    <w:rsid w:val="63DC3F18"/>
    <w:rsid w:val="63DD7D62"/>
    <w:rsid w:val="63E43986"/>
    <w:rsid w:val="63E45085"/>
    <w:rsid w:val="63E46CA5"/>
    <w:rsid w:val="63E73D80"/>
    <w:rsid w:val="63E812A7"/>
    <w:rsid w:val="63E91C5D"/>
    <w:rsid w:val="63EB37FA"/>
    <w:rsid w:val="63EC08AF"/>
    <w:rsid w:val="63EE3A5C"/>
    <w:rsid w:val="63FC70D8"/>
    <w:rsid w:val="63FE141F"/>
    <w:rsid w:val="64000F13"/>
    <w:rsid w:val="64062BC4"/>
    <w:rsid w:val="640A35A3"/>
    <w:rsid w:val="640C3FB1"/>
    <w:rsid w:val="640C4609"/>
    <w:rsid w:val="640C53D8"/>
    <w:rsid w:val="640D3307"/>
    <w:rsid w:val="64122457"/>
    <w:rsid w:val="64155D5D"/>
    <w:rsid w:val="641A26C5"/>
    <w:rsid w:val="641C540F"/>
    <w:rsid w:val="641E50B0"/>
    <w:rsid w:val="64226920"/>
    <w:rsid w:val="64240F24"/>
    <w:rsid w:val="6425390F"/>
    <w:rsid w:val="64276298"/>
    <w:rsid w:val="642F5217"/>
    <w:rsid w:val="643C3749"/>
    <w:rsid w:val="64401F0D"/>
    <w:rsid w:val="64481E56"/>
    <w:rsid w:val="64485949"/>
    <w:rsid w:val="644C31C8"/>
    <w:rsid w:val="644D52AE"/>
    <w:rsid w:val="644E7016"/>
    <w:rsid w:val="645011FD"/>
    <w:rsid w:val="64502E38"/>
    <w:rsid w:val="645559CA"/>
    <w:rsid w:val="64583E31"/>
    <w:rsid w:val="645C36D2"/>
    <w:rsid w:val="645D76BD"/>
    <w:rsid w:val="64653FD4"/>
    <w:rsid w:val="64691845"/>
    <w:rsid w:val="64797910"/>
    <w:rsid w:val="64837A13"/>
    <w:rsid w:val="648E5726"/>
    <w:rsid w:val="64911182"/>
    <w:rsid w:val="6492272C"/>
    <w:rsid w:val="64963088"/>
    <w:rsid w:val="64970545"/>
    <w:rsid w:val="64991209"/>
    <w:rsid w:val="649A0B93"/>
    <w:rsid w:val="649A7A9B"/>
    <w:rsid w:val="649C5F01"/>
    <w:rsid w:val="64A11FD8"/>
    <w:rsid w:val="64A350BE"/>
    <w:rsid w:val="64AA267B"/>
    <w:rsid w:val="64AA6EFB"/>
    <w:rsid w:val="64AD2BD8"/>
    <w:rsid w:val="64AE669A"/>
    <w:rsid w:val="64B61035"/>
    <w:rsid w:val="64B66B5A"/>
    <w:rsid w:val="64C930B7"/>
    <w:rsid w:val="64C94B41"/>
    <w:rsid w:val="64CD4FE3"/>
    <w:rsid w:val="64D221EF"/>
    <w:rsid w:val="64D30A21"/>
    <w:rsid w:val="64DE058B"/>
    <w:rsid w:val="64E10885"/>
    <w:rsid w:val="64E317FD"/>
    <w:rsid w:val="64E3209D"/>
    <w:rsid w:val="64E977F1"/>
    <w:rsid w:val="64F05086"/>
    <w:rsid w:val="64F06DE1"/>
    <w:rsid w:val="64F21B76"/>
    <w:rsid w:val="64F47AA9"/>
    <w:rsid w:val="64F5132D"/>
    <w:rsid w:val="64F72A1C"/>
    <w:rsid w:val="64F8424D"/>
    <w:rsid w:val="64FC5B4A"/>
    <w:rsid w:val="64FC5D19"/>
    <w:rsid w:val="65046244"/>
    <w:rsid w:val="65055B18"/>
    <w:rsid w:val="650A391A"/>
    <w:rsid w:val="650A3C22"/>
    <w:rsid w:val="650C2B4B"/>
    <w:rsid w:val="651B3E53"/>
    <w:rsid w:val="651F2CAD"/>
    <w:rsid w:val="6521381D"/>
    <w:rsid w:val="65281ACB"/>
    <w:rsid w:val="65311528"/>
    <w:rsid w:val="65312070"/>
    <w:rsid w:val="653177B8"/>
    <w:rsid w:val="65324962"/>
    <w:rsid w:val="6537195E"/>
    <w:rsid w:val="653A3193"/>
    <w:rsid w:val="654139DA"/>
    <w:rsid w:val="654545E4"/>
    <w:rsid w:val="6547070C"/>
    <w:rsid w:val="65484036"/>
    <w:rsid w:val="654D3D41"/>
    <w:rsid w:val="65560E09"/>
    <w:rsid w:val="655B6255"/>
    <w:rsid w:val="655F092B"/>
    <w:rsid w:val="65660E20"/>
    <w:rsid w:val="65687DCB"/>
    <w:rsid w:val="656B4F27"/>
    <w:rsid w:val="656D6239"/>
    <w:rsid w:val="657322CF"/>
    <w:rsid w:val="65764D6B"/>
    <w:rsid w:val="657D7823"/>
    <w:rsid w:val="657E72EE"/>
    <w:rsid w:val="657F5831"/>
    <w:rsid w:val="65830767"/>
    <w:rsid w:val="6584036A"/>
    <w:rsid w:val="65860E11"/>
    <w:rsid w:val="658B5EFA"/>
    <w:rsid w:val="659857A6"/>
    <w:rsid w:val="65986978"/>
    <w:rsid w:val="6598698C"/>
    <w:rsid w:val="659B4B7E"/>
    <w:rsid w:val="659C0702"/>
    <w:rsid w:val="659F5DAF"/>
    <w:rsid w:val="65A506E5"/>
    <w:rsid w:val="65A947C3"/>
    <w:rsid w:val="65AD74D4"/>
    <w:rsid w:val="65B473FF"/>
    <w:rsid w:val="65B80307"/>
    <w:rsid w:val="65B93982"/>
    <w:rsid w:val="65C45B92"/>
    <w:rsid w:val="65CC7C03"/>
    <w:rsid w:val="65D00F2E"/>
    <w:rsid w:val="65D66172"/>
    <w:rsid w:val="65D66794"/>
    <w:rsid w:val="65DD18BD"/>
    <w:rsid w:val="65DE4CE7"/>
    <w:rsid w:val="65DE7D90"/>
    <w:rsid w:val="65E05EC9"/>
    <w:rsid w:val="65E4008E"/>
    <w:rsid w:val="65E40B35"/>
    <w:rsid w:val="65E441C2"/>
    <w:rsid w:val="65F0542E"/>
    <w:rsid w:val="65F22EDA"/>
    <w:rsid w:val="65FB5ADB"/>
    <w:rsid w:val="65FC7ACD"/>
    <w:rsid w:val="65FF45F4"/>
    <w:rsid w:val="65FF533D"/>
    <w:rsid w:val="6608558F"/>
    <w:rsid w:val="660F37B1"/>
    <w:rsid w:val="660F5361"/>
    <w:rsid w:val="66103DB8"/>
    <w:rsid w:val="66145A3D"/>
    <w:rsid w:val="661662EC"/>
    <w:rsid w:val="6617189E"/>
    <w:rsid w:val="661C3894"/>
    <w:rsid w:val="66236B9E"/>
    <w:rsid w:val="66264740"/>
    <w:rsid w:val="662778F9"/>
    <w:rsid w:val="662A0142"/>
    <w:rsid w:val="662F5146"/>
    <w:rsid w:val="66307644"/>
    <w:rsid w:val="66324F6E"/>
    <w:rsid w:val="6634154E"/>
    <w:rsid w:val="66375D55"/>
    <w:rsid w:val="663D1047"/>
    <w:rsid w:val="66424446"/>
    <w:rsid w:val="66431552"/>
    <w:rsid w:val="664718BE"/>
    <w:rsid w:val="66473E86"/>
    <w:rsid w:val="66485E47"/>
    <w:rsid w:val="664B4E42"/>
    <w:rsid w:val="664C4105"/>
    <w:rsid w:val="664D59C9"/>
    <w:rsid w:val="664F2620"/>
    <w:rsid w:val="66572095"/>
    <w:rsid w:val="665C6CCE"/>
    <w:rsid w:val="665C6F1A"/>
    <w:rsid w:val="665E161B"/>
    <w:rsid w:val="6662369D"/>
    <w:rsid w:val="666534E3"/>
    <w:rsid w:val="666D606B"/>
    <w:rsid w:val="666E4ACA"/>
    <w:rsid w:val="66747007"/>
    <w:rsid w:val="6675756D"/>
    <w:rsid w:val="667E3A17"/>
    <w:rsid w:val="66801394"/>
    <w:rsid w:val="66831C66"/>
    <w:rsid w:val="66885330"/>
    <w:rsid w:val="668C1075"/>
    <w:rsid w:val="66907D07"/>
    <w:rsid w:val="66921E25"/>
    <w:rsid w:val="66961AD3"/>
    <w:rsid w:val="6696231E"/>
    <w:rsid w:val="669A4C99"/>
    <w:rsid w:val="66A36241"/>
    <w:rsid w:val="66A419BB"/>
    <w:rsid w:val="66A7021A"/>
    <w:rsid w:val="66A7636D"/>
    <w:rsid w:val="66A94E11"/>
    <w:rsid w:val="66AD79F1"/>
    <w:rsid w:val="66B23A53"/>
    <w:rsid w:val="66B23DBC"/>
    <w:rsid w:val="66B24ACA"/>
    <w:rsid w:val="66B37ABD"/>
    <w:rsid w:val="66B44985"/>
    <w:rsid w:val="66BC0412"/>
    <w:rsid w:val="66BD4B5E"/>
    <w:rsid w:val="66C22FAC"/>
    <w:rsid w:val="66C5005B"/>
    <w:rsid w:val="66CE2F81"/>
    <w:rsid w:val="66D06072"/>
    <w:rsid w:val="66D20A70"/>
    <w:rsid w:val="66D66299"/>
    <w:rsid w:val="66D86448"/>
    <w:rsid w:val="66E15783"/>
    <w:rsid w:val="66E80943"/>
    <w:rsid w:val="66E876E4"/>
    <w:rsid w:val="66E90545"/>
    <w:rsid w:val="66EB202E"/>
    <w:rsid w:val="66ED2B65"/>
    <w:rsid w:val="66F5490D"/>
    <w:rsid w:val="66F619BA"/>
    <w:rsid w:val="66F8033B"/>
    <w:rsid w:val="66FA4FCF"/>
    <w:rsid w:val="66FA7B21"/>
    <w:rsid w:val="66FC12D4"/>
    <w:rsid w:val="66FD02E9"/>
    <w:rsid w:val="67002FDD"/>
    <w:rsid w:val="67017E68"/>
    <w:rsid w:val="670872F2"/>
    <w:rsid w:val="670C13E0"/>
    <w:rsid w:val="670C6E37"/>
    <w:rsid w:val="670D06C1"/>
    <w:rsid w:val="670E4C30"/>
    <w:rsid w:val="670F1AD5"/>
    <w:rsid w:val="67120B4B"/>
    <w:rsid w:val="67166850"/>
    <w:rsid w:val="671A0515"/>
    <w:rsid w:val="671B74E9"/>
    <w:rsid w:val="67204003"/>
    <w:rsid w:val="67231DFC"/>
    <w:rsid w:val="672505F2"/>
    <w:rsid w:val="672C38D9"/>
    <w:rsid w:val="672E0DAF"/>
    <w:rsid w:val="67332513"/>
    <w:rsid w:val="673662D8"/>
    <w:rsid w:val="6737689C"/>
    <w:rsid w:val="673C7F9E"/>
    <w:rsid w:val="673D1F8B"/>
    <w:rsid w:val="673E1C5C"/>
    <w:rsid w:val="673E1C96"/>
    <w:rsid w:val="673F2337"/>
    <w:rsid w:val="67467041"/>
    <w:rsid w:val="674B09D4"/>
    <w:rsid w:val="674C47E6"/>
    <w:rsid w:val="675B3121"/>
    <w:rsid w:val="675F7726"/>
    <w:rsid w:val="6761379C"/>
    <w:rsid w:val="6762442B"/>
    <w:rsid w:val="676752C9"/>
    <w:rsid w:val="67675D05"/>
    <w:rsid w:val="676A52B0"/>
    <w:rsid w:val="676B6737"/>
    <w:rsid w:val="67730FFE"/>
    <w:rsid w:val="677332D5"/>
    <w:rsid w:val="67781D56"/>
    <w:rsid w:val="677E43BB"/>
    <w:rsid w:val="677E463A"/>
    <w:rsid w:val="6781231B"/>
    <w:rsid w:val="67847974"/>
    <w:rsid w:val="678B330B"/>
    <w:rsid w:val="67910089"/>
    <w:rsid w:val="679B0A0E"/>
    <w:rsid w:val="67A1753D"/>
    <w:rsid w:val="67A62764"/>
    <w:rsid w:val="67A63E75"/>
    <w:rsid w:val="67A977A3"/>
    <w:rsid w:val="67AC3D50"/>
    <w:rsid w:val="67AD7145"/>
    <w:rsid w:val="67AF44D2"/>
    <w:rsid w:val="67B04D14"/>
    <w:rsid w:val="67B436E1"/>
    <w:rsid w:val="67B52EF7"/>
    <w:rsid w:val="67B532D1"/>
    <w:rsid w:val="67B567AB"/>
    <w:rsid w:val="67C10DD5"/>
    <w:rsid w:val="67C83C2E"/>
    <w:rsid w:val="67CA09FD"/>
    <w:rsid w:val="67D84E45"/>
    <w:rsid w:val="67DB4D6C"/>
    <w:rsid w:val="67DD1245"/>
    <w:rsid w:val="67DF26DF"/>
    <w:rsid w:val="67E21AF9"/>
    <w:rsid w:val="67E252A3"/>
    <w:rsid w:val="67E53718"/>
    <w:rsid w:val="67EE31DB"/>
    <w:rsid w:val="67F07F8D"/>
    <w:rsid w:val="67FB0ED8"/>
    <w:rsid w:val="67FB2E92"/>
    <w:rsid w:val="67FC5F62"/>
    <w:rsid w:val="67FC6F7D"/>
    <w:rsid w:val="67FD7D2D"/>
    <w:rsid w:val="67FF6BDA"/>
    <w:rsid w:val="680278AE"/>
    <w:rsid w:val="680A77C0"/>
    <w:rsid w:val="68123F05"/>
    <w:rsid w:val="68151659"/>
    <w:rsid w:val="68184D64"/>
    <w:rsid w:val="681C5FE0"/>
    <w:rsid w:val="681E2AC5"/>
    <w:rsid w:val="682348FD"/>
    <w:rsid w:val="68260AB6"/>
    <w:rsid w:val="68262630"/>
    <w:rsid w:val="6827490B"/>
    <w:rsid w:val="68276918"/>
    <w:rsid w:val="68276E84"/>
    <w:rsid w:val="68284576"/>
    <w:rsid w:val="683109D6"/>
    <w:rsid w:val="683436B9"/>
    <w:rsid w:val="6837202A"/>
    <w:rsid w:val="684718A5"/>
    <w:rsid w:val="684A756E"/>
    <w:rsid w:val="684A7639"/>
    <w:rsid w:val="684E4C55"/>
    <w:rsid w:val="684F208E"/>
    <w:rsid w:val="68520570"/>
    <w:rsid w:val="685272C6"/>
    <w:rsid w:val="6856464C"/>
    <w:rsid w:val="68573F38"/>
    <w:rsid w:val="685A1EB4"/>
    <w:rsid w:val="685A334C"/>
    <w:rsid w:val="685B68B9"/>
    <w:rsid w:val="686C2976"/>
    <w:rsid w:val="6872083C"/>
    <w:rsid w:val="68742B54"/>
    <w:rsid w:val="687C2457"/>
    <w:rsid w:val="687D0F8E"/>
    <w:rsid w:val="68862CAE"/>
    <w:rsid w:val="68863D16"/>
    <w:rsid w:val="68886D11"/>
    <w:rsid w:val="68887EB7"/>
    <w:rsid w:val="688F28AE"/>
    <w:rsid w:val="6896227F"/>
    <w:rsid w:val="689B0D29"/>
    <w:rsid w:val="689C2E99"/>
    <w:rsid w:val="689D67F3"/>
    <w:rsid w:val="68A13D5E"/>
    <w:rsid w:val="68AA2262"/>
    <w:rsid w:val="68B7339D"/>
    <w:rsid w:val="68B8487C"/>
    <w:rsid w:val="68BC01BF"/>
    <w:rsid w:val="68BC4880"/>
    <w:rsid w:val="68C13C42"/>
    <w:rsid w:val="68C43FDA"/>
    <w:rsid w:val="68C64A54"/>
    <w:rsid w:val="68CA2813"/>
    <w:rsid w:val="68CE08ED"/>
    <w:rsid w:val="68CF3F9C"/>
    <w:rsid w:val="68DD79D8"/>
    <w:rsid w:val="68DE4BAD"/>
    <w:rsid w:val="68DF275B"/>
    <w:rsid w:val="68E0425B"/>
    <w:rsid w:val="68E45C41"/>
    <w:rsid w:val="68E57A76"/>
    <w:rsid w:val="68E768BD"/>
    <w:rsid w:val="68EB5598"/>
    <w:rsid w:val="68ED5F62"/>
    <w:rsid w:val="68EF546C"/>
    <w:rsid w:val="68F20FAF"/>
    <w:rsid w:val="68F223BE"/>
    <w:rsid w:val="68F55991"/>
    <w:rsid w:val="68FE37BC"/>
    <w:rsid w:val="68FE72A7"/>
    <w:rsid w:val="69034A64"/>
    <w:rsid w:val="6905332E"/>
    <w:rsid w:val="69065CBA"/>
    <w:rsid w:val="69093306"/>
    <w:rsid w:val="69093AB2"/>
    <w:rsid w:val="690A21F4"/>
    <w:rsid w:val="690E5052"/>
    <w:rsid w:val="69113D23"/>
    <w:rsid w:val="691213C9"/>
    <w:rsid w:val="691248C8"/>
    <w:rsid w:val="69137F55"/>
    <w:rsid w:val="69174582"/>
    <w:rsid w:val="69180969"/>
    <w:rsid w:val="691A3AD0"/>
    <w:rsid w:val="691C6622"/>
    <w:rsid w:val="692A421C"/>
    <w:rsid w:val="692D766C"/>
    <w:rsid w:val="69312D16"/>
    <w:rsid w:val="69322691"/>
    <w:rsid w:val="69357C04"/>
    <w:rsid w:val="69390652"/>
    <w:rsid w:val="693C6791"/>
    <w:rsid w:val="693D5A75"/>
    <w:rsid w:val="693F5F49"/>
    <w:rsid w:val="69420F9E"/>
    <w:rsid w:val="69454804"/>
    <w:rsid w:val="69485DAA"/>
    <w:rsid w:val="694B7377"/>
    <w:rsid w:val="694E7914"/>
    <w:rsid w:val="6957762A"/>
    <w:rsid w:val="695855E6"/>
    <w:rsid w:val="69586706"/>
    <w:rsid w:val="695F5D3D"/>
    <w:rsid w:val="69610D9C"/>
    <w:rsid w:val="696376E7"/>
    <w:rsid w:val="69657C52"/>
    <w:rsid w:val="69677F48"/>
    <w:rsid w:val="69685992"/>
    <w:rsid w:val="696B2068"/>
    <w:rsid w:val="696B4842"/>
    <w:rsid w:val="696C0062"/>
    <w:rsid w:val="697A3294"/>
    <w:rsid w:val="697B733E"/>
    <w:rsid w:val="697D45D8"/>
    <w:rsid w:val="69801186"/>
    <w:rsid w:val="6980776E"/>
    <w:rsid w:val="69831B2D"/>
    <w:rsid w:val="698575BB"/>
    <w:rsid w:val="698849A1"/>
    <w:rsid w:val="698A29D1"/>
    <w:rsid w:val="698E4288"/>
    <w:rsid w:val="699150B5"/>
    <w:rsid w:val="69917E64"/>
    <w:rsid w:val="69973307"/>
    <w:rsid w:val="6998542A"/>
    <w:rsid w:val="699E08F8"/>
    <w:rsid w:val="69A0321B"/>
    <w:rsid w:val="69A24F0C"/>
    <w:rsid w:val="69A2662F"/>
    <w:rsid w:val="69B82104"/>
    <w:rsid w:val="69BA2341"/>
    <w:rsid w:val="69BC4CEC"/>
    <w:rsid w:val="69C5099B"/>
    <w:rsid w:val="69CC0092"/>
    <w:rsid w:val="69CC0272"/>
    <w:rsid w:val="69D85AAD"/>
    <w:rsid w:val="69DC5427"/>
    <w:rsid w:val="69DD75C1"/>
    <w:rsid w:val="69DE4980"/>
    <w:rsid w:val="69E42222"/>
    <w:rsid w:val="69E74F20"/>
    <w:rsid w:val="69E80AF2"/>
    <w:rsid w:val="69F51690"/>
    <w:rsid w:val="69F6612C"/>
    <w:rsid w:val="69F745C9"/>
    <w:rsid w:val="69F85C4B"/>
    <w:rsid w:val="69FC6ACA"/>
    <w:rsid w:val="69FE202C"/>
    <w:rsid w:val="69FF2E67"/>
    <w:rsid w:val="69FF5C3A"/>
    <w:rsid w:val="69FF712F"/>
    <w:rsid w:val="6A005FDB"/>
    <w:rsid w:val="6A022EC5"/>
    <w:rsid w:val="6A03660F"/>
    <w:rsid w:val="6A077B82"/>
    <w:rsid w:val="6A0A2AB8"/>
    <w:rsid w:val="6A0B46D2"/>
    <w:rsid w:val="6A0C3658"/>
    <w:rsid w:val="6A10441E"/>
    <w:rsid w:val="6A1A49FB"/>
    <w:rsid w:val="6A2154F1"/>
    <w:rsid w:val="6A223C15"/>
    <w:rsid w:val="6A255BA2"/>
    <w:rsid w:val="6A2604F9"/>
    <w:rsid w:val="6A263A80"/>
    <w:rsid w:val="6A2A6E8E"/>
    <w:rsid w:val="6A2E0264"/>
    <w:rsid w:val="6A2E71B5"/>
    <w:rsid w:val="6A31739A"/>
    <w:rsid w:val="6A377C1D"/>
    <w:rsid w:val="6A3806A9"/>
    <w:rsid w:val="6A387DFE"/>
    <w:rsid w:val="6A3A2F27"/>
    <w:rsid w:val="6A404ECB"/>
    <w:rsid w:val="6A445EF1"/>
    <w:rsid w:val="6A4835F7"/>
    <w:rsid w:val="6A492607"/>
    <w:rsid w:val="6A4946F9"/>
    <w:rsid w:val="6A495D62"/>
    <w:rsid w:val="6A4B7676"/>
    <w:rsid w:val="6A564D95"/>
    <w:rsid w:val="6A5653D2"/>
    <w:rsid w:val="6A5C3E57"/>
    <w:rsid w:val="6A64719A"/>
    <w:rsid w:val="6A6857F4"/>
    <w:rsid w:val="6A6D2BEA"/>
    <w:rsid w:val="6A717851"/>
    <w:rsid w:val="6A76453E"/>
    <w:rsid w:val="6A845731"/>
    <w:rsid w:val="6A877957"/>
    <w:rsid w:val="6A883534"/>
    <w:rsid w:val="6A8A68FC"/>
    <w:rsid w:val="6A8A71EB"/>
    <w:rsid w:val="6A8B4106"/>
    <w:rsid w:val="6A8E0790"/>
    <w:rsid w:val="6A8E2E1C"/>
    <w:rsid w:val="6A914321"/>
    <w:rsid w:val="6A917E63"/>
    <w:rsid w:val="6A963391"/>
    <w:rsid w:val="6A9673F7"/>
    <w:rsid w:val="6A997E22"/>
    <w:rsid w:val="6A9C65CE"/>
    <w:rsid w:val="6AA11D50"/>
    <w:rsid w:val="6AA2185F"/>
    <w:rsid w:val="6AA60E67"/>
    <w:rsid w:val="6AA95198"/>
    <w:rsid w:val="6AB105E2"/>
    <w:rsid w:val="6AB22B4F"/>
    <w:rsid w:val="6AB27202"/>
    <w:rsid w:val="6AB43A49"/>
    <w:rsid w:val="6AB5422C"/>
    <w:rsid w:val="6ABA4033"/>
    <w:rsid w:val="6ABC55B7"/>
    <w:rsid w:val="6AC136C4"/>
    <w:rsid w:val="6ACD395D"/>
    <w:rsid w:val="6ACF6BEA"/>
    <w:rsid w:val="6AD05097"/>
    <w:rsid w:val="6AD24D6D"/>
    <w:rsid w:val="6ADB07BD"/>
    <w:rsid w:val="6ADB3A6C"/>
    <w:rsid w:val="6ADB699C"/>
    <w:rsid w:val="6AE306D1"/>
    <w:rsid w:val="6AE3458F"/>
    <w:rsid w:val="6AEA4348"/>
    <w:rsid w:val="6AED0450"/>
    <w:rsid w:val="6AF82D0A"/>
    <w:rsid w:val="6AF93FE0"/>
    <w:rsid w:val="6B0D3978"/>
    <w:rsid w:val="6B0E2E1F"/>
    <w:rsid w:val="6B0F04BE"/>
    <w:rsid w:val="6B123E19"/>
    <w:rsid w:val="6B1C1989"/>
    <w:rsid w:val="6B1C5245"/>
    <w:rsid w:val="6B1D34F1"/>
    <w:rsid w:val="6B1F0A58"/>
    <w:rsid w:val="6B207FE7"/>
    <w:rsid w:val="6B230481"/>
    <w:rsid w:val="6B301165"/>
    <w:rsid w:val="6B32710D"/>
    <w:rsid w:val="6B344913"/>
    <w:rsid w:val="6B372B08"/>
    <w:rsid w:val="6B386194"/>
    <w:rsid w:val="6B39433C"/>
    <w:rsid w:val="6B3A6550"/>
    <w:rsid w:val="6B3F464D"/>
    <w:rsid w:val="6B423E0E"/>
    <w:rsid w:val="6B4534CE"/>
    <w:rsid w:val="6B4535A5"/>
    <w:rsid w:val="6B48588A"/>
    <w:rsid w:val="6B4B1AD6"/>
    <w:rsid w:val="6B500E68"/>
    <w:rsid w:val="6B5A6273"/>
    <w:rsid w:val="6B5D22C8"/>
    <w:rsid w:val="6B5D3920"/>
    <w:rsid w:val="6B67700A"/>
    <w:rsid w:val="6B6A01E3"/>
    <w:rsid w:val="6B6A3EB6"/>
    <w:rsid w:val="6B6F2C72"/>
    <w:rsid w:val="6B712672"/>
    <w:rsid w:val="6B760264"/>
    <w:rsid w:val="6B767797"/>
    <w:rsid w:val="6B7A6219"/>
    <w:rsid w:val="6B7B23CE"/>
    <w:rsid w:val="6B823FFE"/>
    <w:rsid w:val="6B855B7A"/>
    <w:rsid w:val="6B8E27AD"/>
    <w:rsid w:val="6B8F0812"/>
    <w:rsid w:val="6B8F0831"/>
    <w:rsid w:val="6B92495A"/>
    <w:rsid w:val="6B93663E"/>
    <w:rsid w:val="6B9A7C0D"/>
    <w:rsid w:val="6B9B66C8"/>
    <w:rsid w:val="6B9D44A0"/>
    <w:rsid w:val="6BA13921"/>
    <w:rsid w:val="6BA153FA"/>
    <w:rsid w:val="6BA67080"/>
    <w:rsid w:val="6BAA0013"/>
    <w:rsid w:val="6BB07F85"/>
    <w:rsid w:val="6BB32290"/>
    <w:rsid w:val="6BB420A0"/>
    <w:rsid w:val="6BB45337"/>
    <w:rsid w:val="6BBB2701"/>
    <w:rsid w:val="6BC10292"/>
    <w:rsid w:val="6BC320C9"/>
    <w:rsid w:val="6BC47120"/>
    <w:rsid w:val="6BD044B8"/>
    <w:rsid w:val="6BD21D7E"/>
    <w:rsid w:val="6BD751E7"/>
    <w:rsid w:val="6BDA0DB9"/>
    <w:rsid w:val="6BDB1B7E"/>
    <w:rsid w:val="6BDB3A4D"/>
    <w:rsid w:val="6BDD0CE3"/>
    <w:rsid w:val="6BE17862"/>
    <w:rsid w:val="6BE37042"/>
    <w:rsid w:val="6BE43B37"/>
    <w:rsid w:val="6BE9013E"/>
    <w:rsid w:val="6BE96194"/>
    <w:rsid w:val="6BEA0DF2"/>
    <w:rsid w:val="6BEA1691"/>
    <w:rsid w:val="6BF32B50"/>
    <w:rsid w:val="6BF4397E"/>
    <w:rsid w:val="6BFC1456"/>
    <w:rsid w:val="6BFC1579"/>
    <w:rsid w:val="6C0B434B"/>
    <w:rsid w:val="6C0B7AB8"/>
    <w:rsid w:val="6C106E2F"/>
    <w:rsid w:val="6C127DB2"/>
    <w:rsid w:val="6C161710"/>
    <w:rsid w:val="6C1910F3"/>
    <w:rsid w:val="6C1B0DEB"/>
    <w:rsid w:val="6C220D42"/>
    <w:rsid w:val="6C2217B1"/>
    <w:rsid w:val="6C224B75"/>
    <w:rsid w:val="6C257882"/>
    <w:rsid w:val="6C2A3689"/>
    <w:rsid w:val="6C2B4EFB"/>
    <w:rsid w:val="6C2D7D9B"/>
    <w:rsid w:val="6C306143"/>
    <w:rsid w:val="6C3141F9"/>
    <w:rsid w:val="6C33740F"/>
    <w:rsid w:val="6C372E6F"/>
    <w:rsid w:val="6C386A07"/>
    <w:rsid w:val="6C3D24CB"/>
    <w:rsid w:val="6C3F0D31"/>
    <w:rsid w:val="6C4466D4"/>
    <w:rsid w:val="6C460082"/>
    <w:rsid w:val="6C461CFC"/>
    <w:rsid w:val="6C4B46BA"/>
    <w:rsid w:val="6C4D6C24"/>
    <w:rsid w:val="6C506DD3"/>
    <w:rsid w:val="6C5142B2"/>
    <w:rsid w:val="6C5250BE"/>
    <w:rsid w:val="6C5702E4"/>
    <w:rsid w:val="6C59199A"/>
    <w:rsid w:val="6C5A6F7B"/>
    <w:rsid w:val="6C5E60E5"/>
    <w:rsid w:val="6C634939"/>
    <w:rsid w:val="6C65079C"/>
    <w:rsid w:val="6C661592"/>
    <w:rsid w:val="6C682A59"/>
    <w:rsid w:val="6C6C21BD"/>
    <w:rsid w:val="6C7358E7"/>
    <w:rsid w:val="6C7533F5"/>
    <w:rsid w:val="6C7835AF"/>
    <w:rsid w:val="6C786F84"/>
    <w:rsid w:val="6C794014"/>
    <w:rsid w:val="6C7D07D2"/>
    <w:rsid w:val="6C8005F3"/>
    <w:rsid w:val="6C855042"/>
    <w:rsid w:val="6C88004A"/>
    <w:rsid w:val="6C8C6A03"/>
    <w:rsid w:val="6C8D51E4"/>
    <w:rsid w:val="6C8E6071"/>
    <w:rsid w:val="6C9243E0"/>
    <w:rsid w:val="6C960C18"/>
    <w:rsid w:val="6C967E4B"/>
    <w:rsid w:val="6C9A123C"/>
    <w:rsid w:val="6C9C36CF"/>
    <w:rsid w:val="6CA01EEB"/>
    <w:rsid w:val="6CA10E19"/>
    <w:rsid w:val="6CA70ADA"/>
    <w:rsid w:val="6CAE20B2"/>
    <w:rsid w:val="6CB03547"/>
    <w:rsid w:val="6CBB2CA3"/>
    <w:rsid w:val="6CC065AE"/>
    <w:rsid w:val="6CC521EE"/>
    <w:rsid w:val="6CC65E27"/>
    <w:rsid w:val="6CC90C70"/>
    <w:rsid w:val="6CCA4A1A"/>
    <w:rsid w:val="6CCB5899"/>
    <w:rsid w:val="6CCE093A"/>
    <w:rsid w:val="6CCF1962"/>
    <w:rsid w:val="6CDA32EE"/>
    <w:rsid w:val="6CDC281C"/>
    <w:rsid w:val="6CDF75D7"/>
    <w:rsid w:val="6CE164E3"/>
    <w:rsid w:val="6CE44871"/>
    <w:rsid w:val="6CE6278D"/>
    <w:rsid w:val="6CEA5CBD"/>
    <w:rsid w:val="6CF0070A"/>
    <w:rsid w:val="6CFD3FFA"/>
    <w:rsid w:val="6CFF4D7C"/>
    <w:rsid w:val="6D035BCA"/>
    <w:rsid w:val="6D050DAB"/>
    <w:rsid w:val="6D075D1C"/>
    <w:rsid w:val="6D0D073E"/>
    <w:rsid w:val="6D0D4D9D"/>
    <w:rsid w:val="6D0E574D"/>
    <w:rsid w:val="6D1160C4"/>
    <w:rsid w:val="6D1817A4"/>
    <w:rsid w:val="6D1818D9"/>
    <w:rsid w:val="6D19752F"/>
    <w:rsid w:val="6D1B38DE"/>
    <w:rsid w:val="6D1D5034"/>
    <w:rsid w:val="6D1F7993"/>
    <w:rsid w:val="6D202925"/>
    <w:rsid w:val="6D2E5D82"/>
    <w:rsid w:val="6D2F13A7"/>
    <w:rsid w:val="6D320670"/>
    <w:rsid w:val="6D337057"/>
    <w:rsid w:val="6D35515D"/>
    <w:rsid w:val="6D371181"/>
    <w:rsid w:val="6D392F3C"/>
    <w:rsid w:val="6D3A2396"/>
    <w:rsid w:val="6D3F5207"/>
    <w:rsid w:val="6D444AF4"/>
    <w:rsid w:val="6D4602C4"/>
    <w:rsid w:val="6D460822"/>
    <w:rsid w:val="6D4F0EE7"/>
    <w:rsid w:val="6D52591C"/>
    <w:rsid w:val="6D5B1A9D"/>
    <w:rsid w:val="6D5D5E03"/>
    <w:rsid w:val="6D5E00FC"/>
    <w:rsid w:val="6D613DD5"/>
    <w:rsid w:val="6D641406"/>
    <w:rsid w:val="6D642148"/>
    <w:rsid w:val="6D64270E"/>
    <w:rsid w:val="6D642F64"/>
    <w:rsid w:val="6D663DBD"/>
    <w:rsid w:val="6D664EF3"/>
    <w:rsid w:val="6D6A1CBA"/>
    <w:rsid w:val="6D6E1D67"/>
    <w:rsid w:val="6D754C6B"/>
    <w:rsid w:val="6D7C6041"/>
    <w:rsid w:val="6D7D2B29"/>
    <w:rsid w:val="6D8052E5"/>
    <w:rsid w:val="6D81505D"/>
    <w:rsid w:val="6D83621B"/>
    <w:rsid w:val="6D882000"/>
    <w:rsid w:val="6D9310C4"/>
    <w:rsid w:val="6DA22341"/>
    <w:rsid w:val="6DA225D7"/>
    <w:rsid w:val="6DA971C0"/>
    <w:rsid w:val="6DAF1457"/>
    <w:rsid w:val="6DB06FF1"/>
    <w:rsid w:val="6DBF598E"/>
    <w:rsid w:val="6DC15000"/>
    <w:rsid w:val="6DC516A8"/>
    <w:rsid w:val="6DC8286F"/>
    <w:rsid w:val="6DC94B4A"/>
    <w:rsid w:val="6DCA1690"/>
    <w:rsid w:val="6DD4604E"/>
    <w:rsid w:val="6DD8051C"/>
    <w:rsid w:val="6DDA4C34"/>
    <w:rsid w:val="6DDC3442"/>
    <w:rsid w:val="6DDD0078"/>
    <w:rsid w:val="6DDD392F"/>
    <w:rsid w:val="6DDE2E96"/>
    <w:rsid w:val="6DDE6D61"/>
    <w:rsid w:val="6DE12111"/>
    <w:rsid w:val="6DE415EE"/>
    <w:rsid w:val="6DE63748"/>
    <w:rsid w:val="6DE8575C"/>
    <w:rsid w:val="6DEA16B3"/>
    <w:rsid w:val="6DF56344"/>
    <w:rsid w:val="6DFE5607"/>
    <w:rsid w:val="6E005036"/>
    <w:rsid w:val="6E085D0F"/>
    <w:rsid w:val="6E09709B"/>
    <w:rsid w:val="6E0A2146"/>
    <w:rsid w:val="6E0A6EA2"/>
    <w:rsid w:val="6E0E73B4"/>
    <w:rsid w:val="6E157973"/>
    <w:rsid w:val="6E190E3E"/>
    <w:rsid w:val="6E1D71B8"/>
    <w:rsid w:val="6E20394B"/>
    <w:rsid w:val="6E245B90"/>
    <w:rsid w:val="6E26799E"/>
    <w:rsid w:val="6E2E5727"/>
    <w:rsid w:val="6E3336F2"/>
    <w:rsid w:val="6E3457F4"/>
    <w:rsid w:val="6E393985"/>
    <w:rsid w:val="6E3B2B68"/>
    <w:rsid w:val="6E3E3B1F"/>
    <w:rsid w:val="6E3F653F"/>
    <w:rsid w:val="6E45638B"/>
    <w:rsid w:val="6E4B4CC3"/>
    <w:rsid w:val="6E4D194C"/>
    <w:rsid w:val="6E527075"/>
    <w:rsid w:val="6E5602C9"/>
    <w:rsid w:val="6E5865E1"/>
    <w:rsid w:val="6E586BDE"/>
    <w:rsid w:val="6E587259"/>
    <w:rsid w:val="6E5B1E99"/>
    <w:rsid w:val="6E5D6EC5"/>
    <w:rsid w:val="6E624C25"/>
    <w:rsid w:val="6E636D6A"/>
    <w:rsid w:val="6E706EE3"/>
    <w:rsid w:val="6E747178"/>
    <w:rsid w:val="6E7D12FC"/>
    <w:rsid w:val="6E81010F"/>
    <w:rsid w:val="6E8157FD"/>
    <w:rsid w:val="6E831AAD"/>
    <w:rsid w:val="6E834CBA"/>
    <w:rsid w:val="6E8502B2"/>
    <w:rsid w:val="6E850C0F"/>
    <w:rsid w:val="6E854243"/>
    <w:rsid w:val="6E864E51"/>
    <w:rsid w:val="6E875D46"/>
    <w:rsid w:val="6E8D15F4"/>
    <w:rsid w:val="6E9027C1"/>
    <w:rsid w:val="6E91221B"/>
    <w:rsid w:val="6E984B70"/>
    <w:rsid w:val="6EA85694"/>
    <w:rsid w:val="6EB42283"/>
    <w:rsid w:val="6EBB5CA4"/>
    <w:rsid w:val="6EBD3233"/>
    <w:rsid w:val="6EBE60B1"/>
    <w:rsid w:val="6EC2260A"/>
    <w:rsid w:val="6EC26CE8"/>
    <w:rsid w:val="6EC46ED0"/>
    <w:rsid w:val="6EC477BF"/>
    <w:rsid w:val="6EC802E2"/>
    <w:rsid w:val="6EC84D6E"/>
    <w:rsid w:val="6ECB7C28"/>
    <w:rsid w:val="6ECD021E"/>
    <w:rsid w:val="6ECD2F53"/>
    <w:rsid w:val="6ECF4CCE"/>
    <w:rsid w:val="6ED66E54"/>
    <w:rsid w:val="6ED76D04"/>
    <w:rsid w:val="6EDD1CDF"/>
    <w:rsid w:val="6EDF02FC"/>
    <w:rsid w:val="6EE01AAA"/>
    <w:rsid w:val="6EE34F84"/>
    <w:rsid w:val="6EE5358C"/>
    <w:rsid w:val="6EE844E0"/>
    <w:rsid w:val="6EEC2731"/>
    <w:rsid w:val="6EED0CD0"/>
    <w:rsid w:val="6EFE5D5A"/>
    <w:rsid w:val="6F01586B"/>
    <w:rsid w:val="6F027F13"/>
    <w:rsid w:val="6F042AD2"/>
    <w:rsid w:val="6F087657"/>
    <w:rsid w:val="6F112F46"/>
    <w:rsid w:val="6F12155D"/>
    <w:rsid w:val="6F12339B"/>
    <w:rsid w:val="6F1D317A"/>
    <w:rsid w:val="6F2A0F0A"/>
    <w:rsid w:val="6F300F46"/>
    <w:rsid w:val="6F351916"/>
    <w:rsid w:val="6F352568"/>
    <w:rsid w:val="6F3E31CE"/>
    <w:rsid w:val="6F3E7083"/>
    <w:rsid w:val="6F3F6DD0"/>
    <w:rsid w:val="6F425263"/>
    <w:rsid w:val="6F4E4E35"/>
    <w:rsid w:val="6F564E25"/>
    <w:rsid w:val="6F586D4D"/>
    <w:rsid w:val="6F5F18FE"/>
    <w:rsid w:val="6F5F5393"/>
    <w:rsid w:val="6F665626"/>
    <w:rsid w:val="6F6657FF"/>
    <w:rsid w:val="6F67161D"/>
    <w:rsid w:val="6F6A7A73"/>
    <w:rsid w:val="6F6D3921"/>
    <w:rsid w:val="6F6D4C86"/>
    <w:rsid w:val="6F731CCB"/>
    <w:rsid w:val="6F732AB6"/>
    <w:rsid w:val="6F77301A"/>
    <w:rsid w:val="6F7847D7"/>
    <w:rsid w:val="6F790C7C"/>
    <w:rsid w:val="6F7B27B3"/>
    <w:rsid w:val="6F866CD7"/>
    <w:rsid w:val="6F8D4674"/>
    <w:rsid w:val="6F923695"/>
    <w:rsid w:val="6F934434"/>
    <w:rsid w:val="6F944482"/>
    <w:rsid w:val="6F9749E1"/>
    <w:rsid w:val="6F994A6C"/>
    <w:rsid w:val="6F9B0800"/>
    <w:rsid w:val="6F9E1303"/>
    <w:rsid w:val="6FA00F67"/>
    <w:rsid w:val="6FA06C99"/>
    <w:rsid w:val="6FA6186C"/>
    <w:rsid w:val="6FA92D61"/>
    <w:rsid w:val="6FAD2863"/>
    <w:rsid w:val="6FAF76D7"/>
    <w:rsid w:val="6FB05786"/>
    <w:rsid w:val="6FB11554"/>
    <w:rsid w:val="6FB2297B"/>
    <w:rsid w:val="6FB53DB8"/>
    <w:rsid w:val="6FB93251"/>
    <w:rsid w:val="6FBC760E"/>
    <w:rsid w:val="6FC21327"/>
    <w:rsid w:val="6FC50232"/>
    <w:rsid w:val="6FC5065A"/>
    <w:rsid w:val="6FD35F40"/>
    <w:rsid w:val="6FD53DA4"/>
    <w:rsid w:val="6FD84551"/>
    <w:rsid w:val="6FDB60DC"/>
    <w:rsid w:val="6FDD5C85"/>
    <w:rsid w:val="6FE06610"/>
    <w:rsid w:val="6FE15F9A"/>
    <w:rsid w:val="6FE6544F"/>
    <w:rsid w:val="6FEB3A31"/>
    <w:rsid w:val="6FEC07CD"/>
    <w:rsid w:val="6FEE4B98"/>
    <w:rsid w:val="6FF13687"/>
    <w:rsid w:val="6FF67B3A"/>
    <w:rsid w:val="6FF81303"/>
    <w:rsid w:val="6FFA6891"/>
    <w:rsid w:val="70003AAC"/>
    <w:rsid w:val="70006B52"/>
    <w:rsid w:val="70010ACE"/>
    <w:rsid w:val="70033708"/>
    <w:rsid w:val="70044241"/>
    <w:rsid w:val="70047F75"/>
    <w:rsid w:val="70085C05"/>
    <w:rsid w:val="700C09EE"/>
    <w:rsid w:val="700C6592"/>
    <w:rsid w:val="700C792B"/>
    <w:rsid w:val="700E7C2E"/>
    <w:rsid w:val="70131954"/>
    <w:rsid w:val="70135E2E"/>
    <w:rsid w:val="7014735F"/>
    <w:rsid w:val="70157C35"/>
    <w:rsid w:val="70164AA7"/>
    <w:rsid w:val="7017528C"/>
    <w:rsid w:val="701943A7"/>
    <w:rsid w:val="701A036D"/>
    <w:rsid w:val="701A0800"/>
    <w:rsid w:val="701B2332"/>
    <w:rsid w:val="70217F0B"/>
    <w:rsid w:val="70224B53"/>
    <w:rsid w:val="70264A82"/>
    <w:rsid w:val="70265F41"/>
    <w:rsid w:val="7031657B"/>
    <w:rsid w:val="7033365B"/>
    <w:rsid w:val="70364B67"/>
    <w:rsid w:val="703706CF"/>
    <w:rsid w:val="703726C1"/>
    <w:rsid w:val="703E3F72"/>
    <w:rsid w:val="703F3A6A"/>
    <w:rsid w:val="704223E3"/>
    <w:rsid w:val="70432A60"/>
    <w:rsid w:val="7048018D"/>
    <w:rsid w:val="704C15A9"/>
    <w:rsid w:val="705445AD"/>
    <w:rsid w:val="7058290E"/>
    <w:rsid w:val="705A4EB6"/>
    <w:rsid w:val="705D3CC1"/>
    <w:rsid w:val="705E40A0"/>
    <w:rsid w:val="706121B2"/>
    <w:rsid w:val="706301E0"/>
    <w:rsid w:val="7065704C"/>
    <w:rsid w:val="706A4B6E"/>
    <w:rsid w:val="706C48F8"/>
    <w:rsid w:val="706F4541"/>
    <w:rsid w:val="70716906"/>
    <w:rsid w:val="70732080"/>
    <w:rsid w:val="70732539"/>
    <w:rsid w:val="707757E9"/>
    <w:rsid w:val="70784280"/>
    <w:rsid w:val="707A292A"/>
    <w:rsid w:val="707F48B4"/>
    <w:rsid w:val="708063E2"/>
    <w:rsid w:val="708C635F"/>
    <w:rsid w:val="708D597E"/>
    <w:rsid w:val="70901420"/>
    <w:rsid w:val="70902CD8"/>
    <w:rsid w:val="70907548"/>
    <w:rsid w:val="7091470B"/>
    <w:rsid w:val="709437B7"/>
    <w:rsid w:val="709739F8"/>
    <w:rsid w:val="70A157DF"/>
    <w:rsid w:val="70A22DB5"/>
    <w:rsid w:val="70A3227B"/>
    <w:rsid w:val="70A53C16"/>
    <w:rsid w:val="70AB6A52"/>
    <w:rsid w:val="70AC72B4"/>
    <w:rsid w:val="70AD0FC9"/>
    <w:rsid w:val="70B0520A"/>
    <w:rsid w:val="70B8260A"/>
    <w:rsid w:val="70BA1A56"/>
    <w:rsid w:val="70BE7CCF"/>
    <w:rsid w:val="70BF2441"/>
    <w:rsid w:val="70C20D61"/>
    <w:rsid w:val="70C6052A"/>
    <w:rsid w:val="70C76101"/>
    <w:rsid w:val="70CB7571"/>
    <w:rsid w:val="70CD6695"/>
    <w:rsid w:val="70CE716C"/>
    <w:rsid w:val="70D050F5"/>
    <w:rsid w:val="70D34D1C"/>
    <w:rsid w:val="70D75C3D"/>
    <w:rsid w:val="70D865A9"/>
    <w:rsid w:val="70D904A7"/>
    <w:rsid w:val="70DE62E4"/>
    <w:rsid w:val="70E0199D"/>
    <w:rsid w:val="70E433CD"/>
    <w:rsid w:val="70E915B9"/>
    <w:rsid w:val="70F11CC7"/>
    <w:rsid w:val="70F936EB"/>
    <w:rsid w:val="710C3573"/>
    <w:rsid w:val="71177347"/>
    <w:rsid w:val="71197904"/>
    <w:rsid w:val="712027A8"/>
    <w:rsid w:val="712516BB"/>
    <w:rsid w:val="71262A29"/>
    <w:rsid w:val="7139179C"/>
    <w:rsid w:val="713A0C16"/>
    <w:rsid w:val="713A603C"/>
    <w:rsid w:val="71423B72"/>
    <w:rsid w:val="71434629"/>
    <w:rsid w:val="7149239F"/>
    <w:rsid w:val="714B1EA1"/>
    <w:rsid w:val="714D2053"/>
    <w:rsid w:val="714F5CA2"/>
    <w:rsid w:val="715071FA"/>
    <w:rsid w:val="71526D60"/>
    <w:rsid w:val="71552F8C"/>
    <w:rsid w:val="715B12AD"/>
    <w:rsid w:val="715F675F"/>
    <w:rsid w:val="716D0E4C"/>
    <w:rsid w:val="7171638B"/>
    <w:rsid w:val="717375E5"/>
    <w:rsid w:val="71774B77"/>
    <w:rsid w:val="717B42DD"/>
    <w:rsid w:val="717E4559"/>
    <w:rsid w:val="71891083"/>
    <w:rsid w:val="719031B4"/>
    <w:rsid w:val="719362DF"/>
    <w:rsid w:val="71964BAA"/>
    <w:rsid w:val="71967B26"/>
    <w:rsid w:val="71975150"/>
    <w:rsid w:val="719A71D2"/>
    <w:rsid w:val="719B3C62"/>
    <w:rsid w:val="719C4F61"/>
    <w:rsid w:val="719F157F"/>
    <w:rsid w:val="71A251CA"/>
    <w:rsid w:val="71A34FB8"/>
    <w:rsid w:val="71A742EA"/>
    <w:rsid w:val="71A91960"/>
    <w:rsid w:val="71A95D18"/>
    <w:rsid w:val="71AB0D4E"/>
    <w:rsid w:val="71AB269C"/>
    <w:rsid w:val="71AC1E21"/>
    <w:rsid w:val="71AE23C1"/>
    <w:rsid w:val="71AF3481"/>
    <w:rsid w:val="71B20D7C"/>
    <w:rsid w:val="71B74B4D"/>
    <w:rsid w:val="71B924EE"/>
    <w:rsid w:val="71BB120B"/>
    <w:rsid w:val="71BF3B9C"/>
    <w:rsid w:val="71C161A4"/>
    <w:rsid w:val="71C170AD"/>
    <w:rsid w:val="71C31235"/>
    <w:rsid w:val="71C63A40"/>
    <w:rsid w:val="71C860F8"/>
    <w:rsid w:val="71CC4903"/>
    <w:rsid w:val="71D0341F"/>
    <w:rsid w:val="71D64AC4"/>
    <w:rsid w:val="71D70A30"/>
    <w:rsid w:val="71DC40A5"/>
    <w:rsid w:val="71DD176F"/>
    <w:rsid w:val="71DD22F7"/>
    <w:rsid w:val="71DE3231"/>
    <w:rsid w:val="71EA2CFF"/>
    <w:rsid w:val="71EC0713"/>
    <w:rsid w:val="71ED7E52"/>
    <w:rsid w:val="71F252A8"/>
    <w:rsid w:val="720142FD"/>
    <w:rsid w:val="720352D7"/>
    <w:rsid w:val="7205786D"/>
    <w:rsid w:val="72080ED0"/>
    <w:rsid w:val="72094655"/>
    <w:rsid w:val="72124825"/>
    <w:rsid w:val="72127AC6"/>
    <w:rsid w:val="72162587"/>
    <w:rsid w:val="721E41F4"/>
    <w:rsid w:val="72242F17"/>
    <w:rsid w:val="72277957"/>
    <w:rsid w:val="722D08A9"/>
    <w:rsid w:val="72347200"/>
    <w:rsid w:val="72374C9E"/>
    <w:rsid w:val="723A368B"/>
    <w:rsid w:val="723F6B0D"/>
    <w:rsid w:val="72413C31"/>
    <w:rsid w:val="7241448E"/>
    <w:rsid w:val="7244424F"/>
    <w:rsid w:val="72451487"/>
    <w:rsid w:val="724F2272"/>
    <w:rsid w:val="72563E57"/>
    <w:rsid w:val="72575269"/>
    <w:rsid w:val="725E6FD1"/>
    <w:rsid w:val="72624AD1"/>
    <w:rsid w:val="72636446"/>
    <w:rsid w:val="72637BBF"/>
    <w:rsid w:val="72707E95"/>
    <w:rsid w:val="727649EA"/>
    <w:rsid w:val="72772FA6"/>
    <w:rsid w:val="72776B16"/>
    <w:rsid w:val="7278387A"/>
    <w:rsid w:val="727A5D97"/>
    <w:rsid w:val="728360FC"/>
    <w:rsid w:val="7284622E"/>
    <w:rsid w:val="72853398"/>
    <w:rsid w:val="728A58AF"/>
    <w:rsid w:val="728F34A9"/>
    <w:rsid w:val="72922247"/>
    <w:rsid w:val="72925A68"/>
    <w:rsid w:val="729A6713"/>
    <w:rsid w:val="729B122F"/>
    <w:rsid w:val="72AD0266"/>
    <w:rsid w:val="72B52C3A"/>
    <w:rsid w:val="72B60CD6"/>
    <w:rsid w:val="72B76BA9"/>
    <w:rsid w:val="72B846E3"/>
    <w:rsid w:val="72BA3907"/>
    <w:rsid w:val="72C442DD"/>
    <w:rsid w:val="72CF283A"/>
    <w:rsid w:val="72D34FBB"/>
    <w:rsid w:val="72D36129"/>
    <w:rsid w:val="72D81EA4"/>
    <w:rsid w:val="72DF169B"/>
    <w:rsid w:val="72E129A1"/>
    <w:rsid w:val="72E2275C"/>
    <w:rsid w:val="72E25F9B"/>
    <w:rsid w:val="72E50CFF"/>
    <w:rsid w:val="72EC678A"/>
    <w:rsid w:val="72ED762E"/>
    <w:rsid w:val="72EE408F"/>
    <w:rsid w:val="72F13A9A"/>
    <w:rsid w:val="72F90B78"/>
    <w:rsid w:val="72FC1ABF"/>
    <w:rsid w:val="72FF156F"/>
    <w:rsid w:val="73027B3B"/>
    <w:rsid w:val="73033516"/>
    <w:rsid w:val="73082672"/>
    <w:rsid w:val="73107F66"/>
    <w:rsid w:val="731346DC"/>
    <w:rsid w:val="731A6FAB"/>
    <w:rsid w:val="731E4F86"/>
    <w:rsid w:val="731E7014"/>
    <w:rsid w:val="732151CF"/>
    <w:rsid w:val="73234DEE"/>
    <w:rsid w:val="73286ADE"/>
    <w:rsid w:val="73292B90"/>
    <w:rsid w:val="73353678"/>
    <w:rsid w:val="733F1DD3"/>
    <w:rsid w:val="73412B22"/>
    <w:rsid w:val="73432A0F"/>
    <w:rsid w:val="734473F2"/>
    <w:rsid w:val="734F27F5"/>
    <w:rsid w:val="734F73D4"/>
    <w:rsid w:val="73512E02"/>
    <w:rsid w:val="73513CF4"/>
    <w:rsid w:val="73554092"/>
    <w:rsid w:val="73562502"/>
    <w:rsid w:val="735636C0"/>
    <w:rsid w:val="735660CF"/>
    <w:rsid w:val="735D0575"/>
    <w:rsid w:val="736441C5"/>
    <w:rsid w:val="73667424"/>
    <w:rsid w:val="737209E0"/>
    <w:rsid w:val="73775A7A"/>
    <w:rsid w:val="73790916"/>
    <w:rsid w:val="73792657"/>
    <w:rsid w:val="737D4D5D"/>
    <w:rsid w:val="737D78D2"/>
    <w:rsid w:val="737F2F3A"/>
    <w:rsid w:val="738505E9"/>
    <w:rsid w:val="738575AD"/>
    <w:rsid w:val="73880538"/>
    <w:rsid w:val="73892901"/>
    <w:rsid w:val="738B7570"/>
    <w:rsid w:val="738C74A3"/>
    <w:rsid w:val="739A6496"/>
    <w:rsid w:val="739B782F"/>
    <w:rsid w:val="73A42659"/>
    <w:rsid w:val="73A84CD2"/>
    <w:rsid w:val="73A91144"/>
    <w:rsid w:val="73A92BB8"/>
    <w:rsid w:val="73AE585D"/>
    <w:rsid w:val="73B14F48"/>
    <w:rsid w:val="73B22AC0"/>
    <w:rsid w:val="73BB5864"/>
    <w:rsid w:val="73BE1BB9"/>
    <w:rsid w:val="73CA0659"/>
    <w:rsid w:val="73D15DFC"/>
    <w:rsid w:val="73D55202"/>
    <w:rsid w:val="73D634A1"/>
    <w:rsid w:val="73D74444"/>
    <w:rsid w:val="73DA2862"/>
    <w:rsid w:val="73E238BB"/>
    <w:rsid w:val="73E313A3"/>
    <w:rsid w:val="73E5384F"/>
    <w:rsid w:val="73EC121B"/>
    <w:rsid w:val="73ED3F6B"/>
    <w:rsid w:val="73EE611A"/>
    <w:rsid w:val="73F04B66"/>
    <w:rsid w:val="73F05BE5"/>
    <w:rsid w:val="73F177B6"/>
    <w:rsid w:val="73F452E7"/>
    <w:rsid w:val="73FE7741"/>
    <w:rsid w:val="73FF4478"/>
    <w:rsid w:val="74081E64"/>
    <w:rsid w:val="740C43FC"/>
    <w:rsid w:val="74137783"/>
    <w:rsid w:val="74143FCA"/>
    <w:rsid w:val="74157B8B"/>
    <w:rsid w:val="74163D51"/>
    <w:rsid w:val="741C2C4E"/>
    <w:rsid w:val="7420230E"/>
    <w:rsid w:val="74260381"/>
    <w:rsid w:val="74284DC1"/>
    <w:rsid w:val="742A7349"/>
    <w:rsid w:val="742C6BC0"/>
    <w:rsid w:val="742D360B"/>
    <w:rsid w:val="742E50C4"/>
    <w:rsid w:val="742F1060"/>
    <w:rsid w:val="7433567E"/>
    <w:rsid w:val="743944E9"/>
    <w:rsid w:val="743D39C5"/>
    <w:rsid w:val="744B0F14"/>
    <w:rsid w:val="74503E06"/>
    <w:rsid w:val="74516FA0"/>
    <w:rsid w:val="74524A7B"/>
    <w:rsid w:val="7452573B"/>
    <w:rsid w:val="745443C6"/>
    <w:rsid w:val="74547953"/>
    <w:rsid w:val="7457249D"/>
    <w:rsid w:val="74595119"/>
    <w:rsid w:val="745B0E85"/>
    <w:rsid w:val="745D0876"/>
    <w:rsid w:val="745E3B33"/>
    <w:rsid w:val="74620891"/>
    <w:rsid w:val="746C2167"/>
    <w:rsid w:val="74736ECB"/>
    <w:rsid w:val="74766BBE"/>
    <w:rsid w:val="747B4695"/>
    <w:rsid w:val="747D0B7C"/>
    <w:rsid w:val="747D4579"/>
    <w:rsid w:val="747F661E"/>
    <w:rsid w:val="74820D93"/>
    <w:rsid w:val="748702F8"/>
    <w:rsid w:val="748C4539"/>
    <w:rsid w:val="748D6976"/>
    <w:rsid w:val="748E6DEA"/>
    <w:rsid w:val="74947720"/>
    <w:rsid w:val="74956D33"/>
    <w:rsid w:val="749600D7"/>
    <w:rsid w:val="74A44B7B"/>
    <w:rsid w:val="74A915A1"/>
    <w:rsid w:val="74AC200D"/>
    <w:rsid w:val="74AD7F5E"/>
    <w:rsid w:val="74B43532"/>
    <w:rsid w:val="74B45696"/>
    <w:rsid w:val="74B72B75"/>
    <w:rsid w:val="74B8013C"/>
    <w:rsid w:val="74BD4499"/>
    <w:rsid w:val="74BE3225"/>
    <w:rsid w:val="74C1388B"/>
    <w:rsid w:val="74D062AC"/>
    <w:rsid w:val="74D729D4"/>
    <w:rsid w:val="74DD61DF"/>
    <w:rsid w:val="74E627FA"/>
    <w:rsid w:val="74E8634D"/>
    <w:rsid w:val="74EF67C9"/>
    <w:rsid w:val="74F00106"/>
    <w:rsid w:val="74F72AD1"/>
    <w:rsid w:val="74F859BD"/>
    <w:rsid w:val="74F863AB"/>
    <w:rsid w:val="74F92A69"/>
    <w:rsid w:val="74FC3FC5"/>
    <w:rsid w:val="75003176"/>
    <w:rsid w:val="75033E4C"/>
    <w:rsid w:val="750E2391"/>
    <w:rsid w:val="75152972"/>
    <w:rsid w:val="751A1E63"/>
    <w:rsid w:val="751E6743"/>
    <w:rsid w:val="75232716"/>
    <w:rsid w:val="75296489"/>
    <w:rsid w:val="752E0110"/>
    <w:rsid w:val="753340A8"/>
    <w:rsid w:val="75337D1A"/>
    <w:rsid w:val="7539069C"/>
    <w:rsid w:val="75450C60"/>
    <w:rsid w:val="754B7577"/>
    <w:rsid w:val="754C291A"/>
    <w:rsid w:val="75503F97"/>
    <w:rsid w:val="75531734"/>
    <w:rsid w:val="755328D0"/>
    <w:rsid w:val="755750B3"/>
    <w:rsid w:val="755819C5"/>
    <w:rsid w:val="755F00F8"/>
    <w:rsid w:val="75607F39"/>
    <w:rsid w:val="75615ECD"/>
    <w:rsid w:val="75693F64"/>
    <w:rsid w:val="756C10D8"/>
    <w:rsid w:val="756E0577"/>
    <w:rsid w:val="757017A8"/>
    <w:rsid w:val="757072CF"/>
    <w:rsid w:val="75744690"/>
    <w:rsid w:val="75773807"/>
    <w:rsid w:val="757A4300"/>
    <w:rsid w:val="757E5A3E"/>
    <w:rsid w:val="757F3D7F"/>
    <w:rsid w:val="758241DC"/>
    <w:rsid w:val="758A1134"/>
    <w:rsid w:val="758A4929"/>
    <w:rsid w:val="758D4828"/>
    <w:rsid w:val="758D793F"/>
    <w:rsid w:val="758E1E5D"/>
    <w:rsid w:val="75951BED"/>
    <w:rsid w:val="75952E0D"/>
    <w:rsid w:val="75955703"/>
    <w:rsid w:val="759D1DE2"/>
    <w:rsid w:val="759F0C06"/>
    <w:rsid w:val="759F4A5F"/>
    <w:rsid w:val="75A02AB0"/>
    <w:rsid w:val="75A435C0"/>
    <w:rsid w:val="75AA6CD6"/>
    <w:rsid w:val="75AD6B2F"/>
    <w:rsid w:val="75B1785F"/>
    <w:rsid w:val="75B25848"/>
    <w:rsid w:val="75B710B1"/>
    <w:rsid w:val="75BA0B00"/>
    <w:rsid w:val="75BA4429"/>
    <w:rsid w:val="75C00097"/>
    <w:rsid w:val="75D565C3"/>
    <w:rsid w:val="75DC3DD7"/>
    <w:rsid w:val="75DF44F4"/>
    <w:rsid w:val="75E46861"/>
    <w:rsid w:val="75E71F91"/>
    <w:rsid w:val="75EF02D4"/>
    <w:rsid w:val="75EF07DA"/>
    <w:rsid w:val="75EF1B61"/>
    <w:rsid w:val="75F94F2F"/>
    <w:rsid w:val="75FA5BD4"/>
    <w:rsid w:val="7601205F"/>
    <w:rsid w:val="760F7461"/>
    <w:rsid w:val="761029E7"/>
    <w:rsid w:val="7618007C"/>
    <w:rsid w:val="761F1ABE"/>
    <w:rsid w:val="76320DB6"/>
    <w:rsid w:val="76331DCA"/>
    <w:rsid w:val="76373F9F"/>
    <w:rsid w:val="76394371"/>
    <w:rsid w:val="763C645A"/>
    <w:rsid w:val="763D312E"/>
    <w:rsid w:val="763E3A56"/>
    <w:rsid w:val="76404659"/>
    <w:rsid w:val="76416103"/>
    <w:rsid w:val="76423BFD"/>
    <w:rsid w:val="764A690A"/>
    <w:rsid w:val="765E04EC"/>
    <w:rsid w:val="76632386"/>
    <w:rsid w:val="76684795"/>
    <w:rsid w:val="766857FC"/>
    <w:rsid w:val="76692017"/>
    <w:rsid w:val="766B3739"/>
    <w:rsid w:val="766D5370"/>
    <w:rsid w:val="76764F65"/>
    <w:rsid w:val="767660AE"/>
    <w:rsid w:val="767E63E0"/>
    <w:rsid w:val="767F5CDC"/>
    <w:rsid w:val="768C1AC7"/>
    <w:rsid w:val="768C458D"/>
    <w:rsid w:val="768E6645"/>
    <w:rsid w:val="768F397D"/>
    <w:rsid w:val="769150BD"/>
    <w:rsid w:val="76956514"/>
    <w:rsid w:val="76984A3E"/>
    <w:rsid w:val="769B6A70"/>
    <w:rsid w:val="769C0ABC"/>
    <w:rsid w:val="769E1862"/>
    <w:rsid w:val="76A01D00"/>
    <w:rsid w:val="76A96C77"/>
    <w:rsid w:val="76BA3751"/>
    <w:rsid w:val="76BA4D45"/>
    <w:rsid w:val="76BB2C7A"/>
    <w:rsid w:val="76BB554C"/>
    <w:rsid w:val="76BE0508"/>
    <w:rsid w:val="76C432A1"/>
    <w:rsid w:val="76C6347E"/>
    <w:rsid w:val="76D84681"/>
    <w:rsid w:val="76DA1264"/>
    <w:rsid w:val="76DA169B"/>
    <w:rsid w:val="76DB6883"/>
    <w:rsid w:val="76DC52D2"/>
    <w:rsid w:val="76E2150A"/>
    <w:rsid w:val="76E84811"/>
    <w:rsid w:val="76F166D9"/>
    <w:rsid w:val="76F206DF"/>
    <w:rsid w:val="76F21588"/>
    <w:rsid w:val="76F63C1F"/>
    <w:rsid w:val="76F71B34"/>
    <w:rsid w:val="76F76AC2"/>
    <w:rsid w:val="76F93849"/>
    <w:rsid w:val="76FD6553"/>
    <w:rsid w:val="77037140"/>
    <w:rsid w:val="770965D3"/>
    <w:rsid w:val="77107278"/>
    <w:rsid w:val="771076FF"/>
    <w:rsid w:val="771128C9"/>
    <w:rsid w:val="7711396E"/>
    <w:rsid w:val="77130ED3"/>
    <w:rsid w:val="77144458"/>
    <w:rsid w:val="77190857"/>
    <w:rsid w:val="771E2421"/>
    <w:rsid w:val="771E5834"/>
    <w:rsid w:val="772149F4"/>
    <w:rsid w:val="77256DEF"/>
    <w:rsid w:val="77280A67"/>
    <w:rsid w:val="772C38CE"/>
    <w:rsid w:val="7732117D"/>
    <w:rsid w:val="77327821"/>
    <w:rsid w:val="7734063D"/>
    <w:rsid w:val="7738360F"/>
    <w:rsid w:val="773C50D3"/>
    <w:rsid w:val="7740038C"/>
    <w:rsid w:val="77401C21"/>
    <w:rsid w:val="77491B90"/>
    <w:rsid w:val="774F0710"/>
    <w:rsid w:val="774F3795"/>
    <w:rsid w:val="775829B7"/>
    <w:rsid w:val="7758684F"/>
    <w:rsid w:val="77587A7D"/>
    <w:rsid w:val="775F4CBC"/>
    <w:rsid w:val="77602496"/>
    <w:rsid w:val="77623498"/>
    <w:rsid w:val="77632D2D"/>
    <w:rsid w:val="77644ED9"/>
    <w:rsid w:val="77645F62"/>
    <w:rsid w:val="7767476D"/>
    <w:rsid w:val="77676C3E"/>
    <w:rsid w:val="776B5683"/>
    <w:rsid w:val="776C7C79"/>
    <w:rsid w:val="776F60F0"/>
    <w:rsid w:val="77700751"/>
    <w:rsid w:val="77706674"/>
    <w:rsid w:val="77706A41"/>
    <w:rsid w:val="77761447"/>
    <w:rsid w:val="777F2B5A"/>
    <w:rsid w:val="7787297A"/>
    <w:rsid w:val="778E3254"/>
    <w:rsid w:val="779233B3"/>
    <w:rsid w:val="77936059"/>
    <w:rsid w:val="77953E4B"/>
    <w:rsid w:val="779D171F"/>
    <w:rsid w:val="77A264F0"/>
    <w:rsid w:val="77A30FDA"/>
    <w:rsid w:val="77A7174F"/>
    <w:rsid w:val="77AB693D"/>
    <w:rsid w:val="77AF111C"/>
    <w:rsid w:val="77B23A55"/>
    <w:rsid w:val="77B25D31"/>
    <w:rsid w:val="77B8095C"/>
    <w:rsid w:val="77BA4CB0"/>
    <w:rsid w:val="77C1402A"/>
    <w:rsid w:val="77C31ACB"/>
    <w:rsid w:val="77CD4616"/>
    <w:rsid w:val="77CE4490"/>
    <w:rsid w:val="77CF5FC5"/>
    <w:rsid w:val="77DB45D3"/>
    <w:rsid w:val="77DC058D"/>
    <w:rsid w:val="77E46800"/>
    <w:rsid w:val="77E61FEE"/>
    <w:rsid w:val="77E912C9"/>
    <w:rsid w:val="77EB27CF"/>
    <w:rsid w:val="77EF265D"/>
    <w:rsid w:val="77F27C7C"/>
    <w:rsid w:val="77F46151"/>
    <w:rsid w:val="77F718E5"/>
    <w:rsid w:val="77FD227A"/>
    <w:rsid w:val="78020F35"/>
    <w:rsid w:val="780346B9"/>
    <w:rsid w:val="78044785"/>
    <w:rsid w:val="780B23C1"/>
    <w:rsid w:val="78105A54"/>
    <w:rsid w:val="78121133"/>
    <w:rsid w:val="781D57C3"/>
    <w:rsid w:val="781D58C3"/>
    <w:rsid w:val="781E61CC"/>
    <w:rsid w:val="78230F35"/>
    <w:rsid w:val="7823152E"/>
    <w:rsid w:val="78235B2B"/>
    <w:rsid w:val="78243B3F"/>
    <w:rsid w:val="78252301"/>
    <w:rsid w:val="782670DF"/>
    <w:rsid w:val="78280044"/>
    <w:rsid w:val="783230DC"/>
    <w:rsid w:val="78326FB0"/>
    <w:rsid w:val="78336E97"/>
    <w:rsid w:val="78340E8D"/>
    <w:rsid w:val="78363BE0"/>
    <w:rsid w:val="78375F04"/>
    <w:rsid w:val="783868B3"/>
    <w:rsid w:val="783D7572"/>
    <w:rsid w:val="783E738B"/>
    <w:rsid w:val="783F3B74"/>
    <w:rsid w:val="784453E0"/>
    <w:rsid w:val="78596771"/>
    <w:rsid w:val="785E0A38"/>
    <w:rsid w:val="786001A8"/>
    <w:rsid w:val="786077DD"/>
    <w:rsid w:val="7864358E"/>
    <w:rsid w:val="7866438D"/>
    <w:rsid w:val="786B638D"/>
    <w:rsid w:val="786E5951"/>
    <w:rsid w:val="787347BF"/>
    <w:rsid w:val="78776BDC"/>
    <w:rsid w:val="78781A5F"/>
    <w:rsid w:val="787E3750"/>
    <w:rsid w:val="78845821"/>
    <w:rsid w:val="78896C5F"/>
    <w:rsid w:val="788A2E53"/>
    <w:rsid w:val="788C6F5D"/>
    <w:rsid w:val="788D5633"/>
    <w:rsid w:val="788D6D87"/>
    <w:rsid w:val="789359E4"/>
    <w:rsid w:val="78944737"/>
    <w:rsid w:val="78990C1A"/>
    <w:rsid w:val="78A20463"/>
    <w:rsid w:val="78AC79BF"/>
    <w:rsid w:val="78AF39BA"/>
    <w:rsid w:val="78BA6C72"/>
    <w:rsid w:val="78BC253A"/>
    <w:rsid w:val="78BD07A7"/>
    <w:rsid w:val="78C51295"/>
    <w:rsid w:val="78D25CE7"/>
    <w:rsid w:val="78D533C4"/>
    <w:rsid w:val="78D6431C"/>
    <w:rsid w:val="78D65F6B"/>
    <w:rsid w:val="78DD2A43"/>
    <w:rsid w:val="78DD51CF"/>
    <w:rsid w:val="78E23F6E"/>
    <w:rsid w:val="78E52D9E"/>
    <w:rsid w:val="78EB23FB"/>
    <w:rsid w:val="78EC382E"/>
    <w:rsid w:val="78EE01F7"/>
    <w:rsid w:val="78EF21A8"/>
    <w:rsid w:val="78F52A8C"/>
    <w:rsid w:val="78F6528A"/>
    <w:rsid w:val="78F82204"/>
    <w:rsid w:val="78FA2162"/>
    <w:rsid w:val="78FC553E"/>
    <w:rsid w:val="78FF7D46"/>
    <w:rsid w:val="79082F6A"/>
    <w:rsid w:val="79110D83"/>
    <w:rsid w:val="791515F1"/>
    <w:rsid w:val="79323729"/>
    <w:rsid w:val="7933769A"/>
    <w:rsid w:val="79344EB5"/>
    <w:rsid w:val="79352E7F"/>
    <w:rsid w:val="79406CEF"/>
    <w:rsid w:val="79460EF5"/>
    <w:rsid w:val="794D0142"/>
    <w:rsid w:val="794F3152"/>
    <w:rsid w:val="795211B6"/>
    <w:rsid w:val="79584712"/>
    <w:rsid w:val="795B226C"/>
    <w:rsid w:val="795D43C6"/>
    <w:rsid w:val="795F0898"/>
    <w:rsid w:val="796162EB"/>
    <w:rsid w:val="79683C84"/>
    <w:rsid w:val="797149C7"/>
    <w:rsid w:val="79720CDC"/>
    <w:rsid w:val="797A047C"/>
    <w:rsid w:val="797B7CF0"/>
    <w:rsid w:val="797C0DA0"/>
    <w:rsid w:val="797C4D5B"/>
    <w:rsid w:val="797C6186"/>
    <w:rsid w:val="79802217"/>
    <w:rsid w:val="79810905"/>
    <w:rsid w:val="79825A08"/>
    <w:rsid w:val="7985173B"/>
    <w:rsid w:val="7986423E"/>
    <w:rsid w:val="798C1734"/>
    <w:rsid w:val="79922357"/>
    <w:rsid w:val="79925CC4"/>
    <w:rsid w:val="79981382"/>
    <w:rsid w:val="79A11E5C"/>
    <w:rsid w:val="79A63E5A"/>
    <w:rsid w:val="79A67734"/>
    <w:rsid w:val="79A910F2"/>
    <w:rsid w:val="79AB5C0C"/>
    <w:rsid w:val="79B42BEB"/>
    <w:rsid w:val="79B9383A"/>
    <w:rsid w:val="79BE37A9"/>
    <w:rsid w:val="79C05501"/>
    <w:rsid w:val="79C17B51"/>
    <w:rsid w:val="79C6747C"/>
    <w:rsid w:val="79C85B69"/>
    <w:rsid w:val="79CA28E7"/>
    <w:rsid w:val="79CE288D"/>
    <w:rsid w:val="79CE651F"/>
    <w:rsid w:val="79CF7558"/>
    <w:rsid w:val="79D05847"/>
    <w:rsid w:val="79D40B3D"/>
    <w:rsid w:val="79D81EF3"/>
    <w:rsid w:val="79DA0243"/>
    <w:rsid w:val="79DC4D42"/>
    <w:rsid w:val="79E00282"/>
    <w:rsid w:val="79E3794A"/>
    <w:rsid w:val="79F36A75"/>
    <w:rsid w:val="79F579D3"/>
    <w:rsid w:val="79F8611C"/>
    <w:rsid w:val="79F86E6C"/>
    <w:rsid w:val="79FB43C6"/>
    <w:rsid w:val="79FB4D98"/>
    <w:rsid w:val="7A007D61"/>
    <w:rsid w:val="7A0545DF"/>
    <w:rsid w:val="7A0E4900"/>
    <w:rsid w:val="7A0F78B1"/>
    <w:rsid w:val="7A1044C9"/>
    <w:rsid w:val="7A127B61"/>
    <w:rsid w:val="7A143BFC"/>
    <w:rsid w:val="7A17253A"/>
    <w:rsid w:val="7A1A0AC2"/>
    <w:rsid w:val="7A1A4283"/>
    <w:rsid w:val="7A1A7899"/>
    <w:rsid w:val="7A1E28E2"/>
    <w:rsid w:val="7A1F71E6"/>
    <w:rsid w:val="7A206BA1"/>
    <w:rsid w:val="7A233551"/>
    <w:rsid w:val="7A244D42"/>
    <w:rsid w:val="7A253834"/>
    <w:rsid w:val="7A2D34AC"/>
    <w:rsid w:val="7A3233EB"/>
    <w:rsid w:val="7A336CB0"/>
    <w:rsid w:val="7A3D4F48"/>
    <w:rsid w:val="7A41706D"/>
    <w:rsid w:val="7A424E7A"/>
    <w:rsid w:val="7A432168"/>
    <w:rsid w:val="7A4A2A52"/>
    <w:rsid w:val="7A4F48DF"/>
    <w:rsid w:val="7A4F6B67"/>
    <w:rsid w:val="7A592276"/>
    <w:rsid w:val="7A5C412D"/>
    <w:rsid w:val="7A661007"/>
    <w:rsid w:val="7A6833EA"/>
    <w:rsid w:val="7A6C0539"/>
    <w:rsid w:val="7A7411D0"/>
    <w:rsid w:val="7A7579F2"/>
    <w:rsid w:val="7A76453C"/>
    <w:rsid w:val="7A7F4431"/>
    <w:rsid w:val="7A824677"/>
    <w:rsid w:val="7A927407"/>
    <w:rsid w:val="7AA471FA"/>
    <w:rsid w:val="7AB61B7F"/>
    <w:rsid w:val="7AB703EA"/>
    <w:rsid w:val="7AB843E7"/>
    <w:rsid w:val="7ABF766F"/>
    <w:rsid w:val="7AC029B5"/>
    <w:rsid w:val="7AC16CC9"/>
    <w:rsid w:val="7AC2139C"/>
    <w:rsid w:val="7AC314BE"/>
    <w:rsid w:val="7AC40FF2"/>
    <w:rsid w:val="7ACC3335"/>
    <w:rsid w:val="7AD0408A"/>
    <w:rsid w:val="7AD62D5B"/>
    <w:rsid w:val="7AE52660"/>
    <w:rsid w:val="7AEF4C67"/>
    <w:rsid w:val="7AF21E9D"/>
    <w:rsid w:val="7AF67B23"/>
    <w:rsid w:val="7AF81F4F"/>
    <w:rsid w:val="7AF91453"/>
    <w:rsid w:val="7AF969D3"/>
    <w:rsid w:val="7AFA47C8"/>
    <w:rsid w:val="7B062923"/>
    <w:rsid w:val="7B072623"/>
    <w:rsid w:val="7B0C59FB"/>
    <w:rsid w:val="7B0C77A9"/>
    <w:rsid w:val="7B115E86"/>
    <w:rsid w:val="7B14131D"/>
    <w:rsid w:val="7B174499"/>
    <w:rsid w:val="7B193723"/>
    <w:rsid w:val="7B1C6CA0"/>
    <w:rsid w:val="7B1D62C4"/>
    <w:rsid w:val="7B2055A1"/>
    <w:rsid w:val="7B236B75"/>
    <w:rsid w:val="7B246952"/>
    <w:rsid w:val="7B262601"/>
    <w:rsid w:val="7B2B73E8"/>
    <w:rsid w:val="7B305BED"/>
    <w:rsid w:val="7B36454C"/>
    <w:rsid w:val="7B3B24E7"/>
    <w:rsid w:val="7B3D64A1"/>
    <w:rsid w:val="7B3F124B"/>
    <w:rsid w:val="7B424F78"/>
    <w:rsid w:val="7B4263EA"/>
    <w:rsid w:val="7B440B94"/>
    <w:rsid w:val="7B4A6C3D"/>
    <w:rsid w:val="7B58479C"/>
    <w:rsid w:val="7B5B14B1"/>
    <w:rsid w:val="7B5B6260"/>
    <w:rsid w:val="7B5C4EB7"/>
    <w:rsid w:val="7B627355"/>
    <w:rsid w:val="7B685DF6"/>
    <w:rsid w:val="7B697289"/>
    <w:rsid w:val="7B697E0B"/>
    <w:rsid w:val="7B6D2DCA"/>
    <w:rsid w:val="7B6E0965"/>
    <w:rsid w:val="7B6E7D69"/>
    <w:rsid w:val="7B6F5074"/>
    <w:rsid w:val="7B712822"/>
    <w:rsid w:val="7B7A45E4"/>
    <w:rsid w:val="7B7D06A6"/>
    <w:rsid w:val="7B8267CA"/>
    <w:rsid w:val="7B86155E"/>
    <w:rsid w:val="7B871AFE"/>
    <w:rsid w:val="7B8741A5"/>
    <w:rsid w:val="7B8A6BC1"/>
    <w:rsid w:val="7B8D2F02"/>
    <w:rsid w:val="7B8F3EFF"/>
    <w:rsid w:val="7B920352"/>
    <w:rsid w:val="7BA774D1"/>
    <w:rsid w:val="7BA921E1"/>
    <w:rsid w:val="7BAB20F8"/>
    <w:rsid w:val="7BAB4608"/>
    <w:rsid w:val="7BB258B6"/>
    <w:rsid w:val="7BB65588"/>
    <w:rsid w:val="7BB81C19"/>
    <w:rsid w:val="7BB843EC"/>
    <w:rsid w:val="7BB95F72"/>
    <w:rsid w:val="7BBB6B25"/>
    <w:rsid w:val="7BBF0D55"/>
    <w:rsid w:val="7BC84339"/>
    <w:rsid w:val="7BC84B10"/>
    <w:rsid w:val="7BCC184A"/>
    <w:rsid w:val="7BD415A0"/>
    <w:rsid w:val="7BD7564F"/>
    <w:rsid w:val="7BDB6C9C"/>
    <w:rsid w:val="7BDC1ABE"/>
    <w:rsid w:val="7BDD4EB5"/>
    <w:rsid w:val="7BDF37FE"/>
    <w:rsid w:val="7BE00A95"/>
    <w:rsid w:val="7BE100EA"/>
    <w:rsid w:val="7BE21897"/>
    <w:rsid w:val="7BE65A4C"/>
    <w:rsid w:val="7BE76776"/>
    <w:rsid w:val="7BF53549"/>
    <w:rsid w:val="7BF63033"/>
    <w:rsid w:val="7BF6425E"/>
    <w:rsid w:val="7BF717A1"/>
    <w:rsid w:val="7BF873E9"/>
    <w:rsid w:val="7BF91E72"/>
    <w:rsid w:val="7BFA173A"/>
    <w:rsid w:val="7BFD3105"/>
    <w:rsid w:val="7C004E30"/>
    <w:rsid w:val="7C011A7A"/>
    <w:rsid w:val="7C0172F3"/>
    <w:rsid w:val="7C0A078F"/>
    <w:rsid w:val="7C0D77CC"/>
    <w:rsid w:val="7C127147"/>
    <w:rsid w:val="7C133793"/>
    <w:rsid w:val="7C15364E"/>
    <w:rsid w:val="7C1606FC"/>
    <w:rsid w:val="7C160A38"/>
    <w:rsid w:val="7C1C3874"/>
    <w:rsid w:val="7C232BED"/>
    <w:rsid w:val="7C265B53"/>
    <w:rsid w:val="7C2729C3"/>
    <w:rsid w:val="7C3A5B9C"/>
    <w:rsid w:val="7C44752E"/>
    <w:rsid w:val="7C4A5A83"/>
    <w:rsid w:val="7C4B60AF"/>
    <w:rsid w:val="7C520F22"/>
    <w:rsid w:val="7C53263E"/>
    <w:rsid w:val="7C565AC9"/>
    <w:rsid w:val="7C621659"/>
    <w:rsid w:val="7C6270DF"/>
    <w:rsid w:val="7C637CE7"/>
    <w:rsid w:val="7C6516D2"/>
    <w:rsid w:val="7C683F1C"/>
    <w:rsid w:val="7C68686D"/>
    <w:rsid w:val="7C6945B0"/>
    <w:rsid w:val="7C6A34FF"/>
    <w:rsid w:val="7C705FEC"/>
    <w:rsid w:val="7C726FA1"/>
    <w:rsid w:val="7C7331CD"/>
    <w:rsid w:val="7C776F5B"/>
    <w:rsid w:val="7C786306"/>
    <w:rsid w:val="7C7C53F1"/>
    <w:rsid w:val="7C8076C1"/>
    <w:rsid w:val="7C836838"/>
    <w:rsid w:val="7C836DCF"/>
    <w:rsid w:val="7C841145"/>
    <w:rsid w:val="7C8F076A"/>
    <w:rsid w:val="7C913162"/>
    <w:rsid w:val="7C9C2D9A"/>
    <w:rsid w:val="7CA736F7"/>
    <w:rsid w:val="7CB1471F"/>
    <w:rsid w:val="7CB216B2"/>
    <w:rsid w:val="7CBB1DD5"/>
    <w:rsid w:val="7CBD347F"/>
    <w:rsid w:val="7CCD6DA6"/>
    <w:rsid w:val="7CD111B8"/>
    <w:rsid w:val="7CE82B12"/>
    <w:rsid w:val="7CED53B8"/>
    <w:rsid w:val="7CEE3DBF"/>
    <w:rsid w:val="7CF0650C"/>
    <w:rsid w:val="7CFB1B34"/>
    <w:rsid w:val="7CFC3528"/>
    <w:rsid w:val="7CFC730E"/>
    <w:rsid w:val="7CFF4CB2"/>
    <w:rsid w:val="7D061691"/>
    <w:rsid w:val="7D066F91"/>
    <w:rsid w:val="7D0B718C"/>
    <w:rsid w:val="7D12319A"/>
    <w:rsid w:val="7D1332EE"/>
    <w:rsid w:val="7D134C03"/>
    <w:rsid w:val="7D140C1F"/>
    <w:rsid w:val="7D182CD0"/>
    <w:rsid w:val="7D1D56BF"/>
    <w:rsid w:val="7D207256"/>
    <w:rsid w:val="7D221049"/>
    <w:rsid w:val="7D247585"/>
    <w:rsid w:val="7D265226"/>
    <w:rsid w:val="7D2A1252"/>
    <w:rsid w:val="7D392DBC"/>
    <w:rsid w:val="7D395393"/>
    <w:rsid w:val="7D3D3363"/>
    <w:rsid w:val="7D3F6AA4"/>
    <w:rsid w:val="7D4C6D28"/>
    <w:rsid w:val="7D4D0128"/>
    <w:rsid w:val="7D4D602B"/>
    <w:rsid w:val="7D5625D0"/>
    <w:rsid w:val="7D58007F"/>
    <w:rsid w:val="7D583277"/>
    <w:rsid w:val="7D5B60B2"/>
    <w:rsid w:val="7D5D4A5B"/>
    <w:rsid w:val="7D5F738C"/>
    <w:rsid w:val="7D602C03"/>
    <w:rsid w:val="7D695F90"/>
    <w:rsid w:val="7D6C4D96"/>
    <w:rsid w:val="7D711724"/>
    <w:rsid w:val="7D760AE2"/>
    <w:rsid w:val="7D7B7D4A"/>
    <w:rsid w:val="7D860C54"/>
    <w:rsid w:val="7D8950E1"/>
    <w:rsid w:val="7D913864"/>
    <w:rsid w:val="7D9613C6"/>
    <w:rsid w:val="7D986B73"/>
    <w:rsid w:val="7D9B4E14"/>
    <w:rsid w:val="7D9D25F5"/>
    <w:rsid w:val="7D9E0653"/>
    <w:rsid w:val="7D9E2F64"/>
    <w:rsid w:val="7D9F2F96"/>
    <w:rsid w:val="7DA41D1A"/>
    <w:rsid w:val="7DA56629"/>
    <w:rsid w:val="7DA83457"/>
    <w:rsid w:val="7DAC3EE2"/>
    <w:rsid w:val="7DAD209D"/>
    <w:rsid w:val="7DB07B7A"/>
    <w:rsid w:val="7DB74078"/>
    <w:rsid w:val="7DC17CF1"/>
    <w:rsid w:val="7DC749A1"/>
    <w:rsid w:val="7DC95AB3"/>
    <w:rsid w:val="7DD40BEF"/>
    <w:rsid w:val="7DD75DE1"/>
    <w:rsid w:val="7DE037F3"/>
    <w:rsid w:val="7DE107AD"/>
    <w:rsid w:val="7DE7394F"/>
    <w:rsid w:val="7DE804A9"/>
    <w:rsid w:val="7DEC7A41"/>
    <w:rsid w:val="7DEF2ADF"/>
    <w:rsid w:val="7DF3408E"/>
    <w:rsid w:val="7DF476DD"/>
    <w:rsid w:val="7DF77AA9"/>
    <w:rsid w:val="7DFC135B"/>
    <w:rsid w:val="7DFC471C"/>
    <w:rsid w:val="7E01111B"/>
    <w:rsid w:val="7E023D36"/>
    <w:rsid w:val="7E0325EC"/>
    <w:rsid w:val="7E050E11"/>
    <w:rsid w:val="7E05523E"/>
    <w:rsid w:val="7E070BF4"/>
    <w:rsid w:val="7E083A3F"/>
    <w:rsid w:val="7E0A7C5F"/>
    <w:rsid w:val="7E1520A7"/>
    <w:rsid w:val="7E1B61BD"/>
    <w:rsid w:val="7E1B6B63"/>
    <w:rsid w:val="7E1D67E7"/>
    <w:rsid w:val="7E1E42B9"/>
    <w:rsid w:val="7E2117BD"/>
    <w:rsid w:val="7E234079"/>
    <w:rsid w:val="7E2C2472"/>
    <w:rsid w:val="7E2E2A2A"/>
    <w:rsid w:val="7E2F3BF5"/>
    <w:rsid w:val="7E3378F7"/>
    <w:rsid w:val="7E3846DE"/>
    <w:rsid w:val="7E3D3A7B"/>
    <w:rsid w:val="7E3F2DB7"/>
    <w:rsid w:val="7E412E2F"/>
    <w:rsid w:val="7E4311BC"/>
    <w:rsid w:val="7E4425DB"/>
    <w:rsid w:val="7E462AFE"/>
    <w:rsid w:val="7E490EDD"/>
    <w:rsid w:val="7E4A74EE"/>
    <w:rsid w:val="7E4B14FE"/>
    <w:rsid w:val="7E4D0FC0"/>
    <w:rsid w:val="7E4E3424"/>
    <w:rsid w:val="7E5625F9"/>
    <w:rsid w:val="7E5A4CCF"/>
    <w:rsid w:val="7E5D5A71"/>
    <w:rsid w:val="7E5E7E5A"/>
    <w:rsid w:val="7E673C92"/>
    <w:rsid w:val="7E6C1249"/>
    <w:rsid w:val="7E6E699B"/>
    <w:rsid w:val="7E775C68"/>
    <w:rsid w:val="7E7B6F69"/>
    <w:rsid w:val="7E812A03"/>
    <w:rsid w:val="7E860913"/>
    <w:rsid w:val="7E881B7C"/>
    <w:rsid w:val="7E8E0E24"/>
    <w:rsid w:val="7E944946"/>
    <w:rsid w:val="7E9A39E0"/>
    <w:rsid w:val="7E9A589F"/>
    <w:rsid w:val="7EA4290B"/>
    <w:rsid w:val="7EA42D15"/>
    <w:rsid w:val="7EA46A35"/>
    <w:rsid w:val="7EA7718C"/>
    <w:rsid w:val="7EA865C1"/>
    <w:rsid w:val="7EAC6B15"/>
    <w:rsid w:val="7EB23754"/>
    <w:rsid w:val="7EB3771A"/>
    <w:rsid w:val="7EBE1C7F"/>
    <w:rsid w:val="7EBE700C"/>
    <w:rsid w:val="7EC17D1C"/>
    <w:rsid w:val="7EC31964"/>
    <w:rsid w:val="7EC34D35"/>
    <w:rsid w:val="7EC36B16"/>
    <w:rsid w:val="7EC457DC"/>
    <w:rsid w:val="7EC470F8"/>
    <w:rsid w:val="7EC5212C"/>
    <w:rsid w:val="7EC54309"/>
    <w:rsid w:val="7EC73DC5"/>
    <w:rsid w:val="7ECD724F"/>
    <w:rsid w:val="7ECF338E"/>
    <w:rsid w:val="7EDB48C6"/>
    <w:rsid w:val="7EDC58F6"/>
    <w:rsid w:val="7EE2172B"/>
    <w:rsid w:val="7EE6515C"/>
    <w:rsid w:val="7EE863D6"/>
    <w:rsid w:val="7EEB075A"/>
    <w:rsid w:val="7EEF4EEE"/>
    <w:rsid w:val="7EF30899"/>
    <w:rsid w:val="7EF55ED5"/>
    <w:rsid w:val="7EF95494"/>
    <w:rsid w:val="7EFA41BD"/>
    <w:rsid w:val="7EFC40C0"/>
    <w:rsid w:val="7EFC7B28"/>
    <w:rsid w:val="7F002894"/>
    <w:rsid w:val="7F073111"/>
    <w:rsid w:val="7F0A2CAC"/>
    <w:rsid w:val="7F0A2D1A"/>
    <w:rsid w:val="7F0D2529"/>
    <w:rsid w:val="7F0E5AFE"/>
    <w:rsid w:val="7F173944"/>
    <w:rsid w:val="7F1922D1"/>
    <w:rsid w:val="7F1D5FD5"/>
    <w:rsid w:val="7F2B28E3"/>
    <w:rsid w:val="7F3036CA"/>
    <w:rsid w:val="7F313C82"/>
    <w:rsid w:val="7F346FD0"/>
    <w:rsid w:val="7F3A113A"/>
    <w:rsid w:val="7F3F1E3E"/>
    <w:rsid w:val="7F44451E"/>
    <w:rsid w:val="7F4C2B96"/>
    <w:rsid w:val="7F4C4C86"/>
    <w:rsid w:val="7F4F490B"/>
    <w:rsid w:val="7F54588E"/>
    <w:rsid w:val="7F5C4242"/>
    <w:rsid w:val="7F5E7411"/>
    <w:rsid w:val="7F656193"/>
    <w:rsid w:val="7F6B1CE1"/>
    <w:rsid w:val="7F6D2648"/>
    <w:rsid w:val="7F6F4FE8"/>
    <w:rsid w:val="7F70425B"/>
    <w:rsid w:val="7F713413"/>
    <w:rsid w:val="7F7418DF"/>
    <w:rsid w:val="7F7B6546"/>
    <w:rsid w:val="7F86025B"/>
    <w:rsid w:val="7F861FA7"/>
    <w:rsid w:val="7F8B4F73"/>
    <w:rsid w:val="7F932247"/>
    <w:rsid w:val="7F947373"/>
    <w:rsid w:val="7F9A64AD"/>
    <w:rsid w:val="7F9C04FC"/>
    <w:rsid w:val="7F9C2F3B"/>
    <w:rsid w:val="7F9E106D"/>
    <w:rsid w:val="7F9E4501"/>
    <w:rsid w:val="7FA373A7"/>
    <w:rsid w:val="7FA502D3"/>
    <w:rsid w:val="7FA80D1E"/>
    <w:rsid w:val="7FAE07ED"/>
    <w:rsid w:val="7FAF2ABD"/>
    <w:rsid w:val="7FB25BE4"/>
    <w:rsid w:val="7FB53A3D"/>
    <w:rsid w:val="7FB616E7"/>
    <w:rsid w:val="7FB73BD7"/>
    <w:rsid w:val="7FB81C33"/>
    <w:rsid w:val="7FC01CE1"/>
    <w:rsid w:val="7FC426BB"/>
    <w:rsid w:val="7FCA751A"/>
    <w:rsid w:val="7FCD472C"/>
    <w:rsid w:val="7FD20496"/>
    <w:rsid w:val="7FD43FF5"/>
    <w:rsid w:val="7FD45A8C"/>
    <w:rsid w:val="7FD82000"/>
    <w:rsid w:val="7FD93486"/>
    <w:rsid w:val="7FDA67E5"/>
    <w:rsid w:val="7FE96D47"/>
    <w:rsid w:val="7FED008A"/>
    <w:rsid w:val="7FEF0679"/>
    <w:rsid w:val="7FF042E2"/>
    <w:rsid w:val="7FF17114"/>
    <w:rsid w:val="7FF63F4F"/>
    <w:rsid w:val="7FF6767F"/>
    <w:rsid w:val="7FF71AEE"/>
    <w:rsid w:val="7FF84B05"/>
    <w:rsid w:val="7FF86E37"/>
    <w:rsid w:val="7FFA4BF1"/>
    <w:rsid w:val="7FFB6D8F"/>
    <w:rsid w:val="7FFC1740"/>
    <w:rsid w:val="7FFE0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
    <w:pPr>
      <w:keepLines/>
      <w:numPr>
        <w:ilvl w:val="0"/>
        <w:numId w:val="1"/>
      </w:numPr>
      <w:ind w:firstLine="624" w:firstLineChars="0"/>
      <w:jc w:val="left"/>
      <w:outlineLvl w:val="0"/>
    </w:pPr>
    <w:rPr>
      <w:rFonts w:ascii="黑体" w:hAnsi="黑体" w:eastAsia="黑体" w:cs="黑体"/>
      <w:kern w:val="44"/>
    </w:rPr>
  </w:style>
  <w:style w:type="paragraph" w:styleId="3">
    <w:name w:val="heading 2"/>
    <w:basedOn w:val="1"/>
    <w:next w:val="1"/>
    <w:link w:val="38"/>
    <w:qFormat/>
    <w:uiPriority w:val="9"/>
    <w:pPr>
      <w:keepLines/>
      <w:numPr>
        <w:ilvl w:val="1"/>
        <w:numId w:val="1"/>
      </w:numPr>
      <w:ind w:firstLine="632" w:firstLineChars="200"/>
      <w:outlineLvl w:val="1"/>
    </w:pPr>
    <w:rPr>
      <w:rFonts w:ascii="楷体_GB2312" w:hAnsi="楷体_GB2312" w:eastAsia="楷体_GB2312" w:cs="楷体_GB2312"/>
      <w:b/>
      <w:bCs/>
    </w:rPr>
  </w:style>
  <w:style w:type="paragraph" w:styleId="4">
    <w:name w:val="heading 3"/>
    <w:basedOn w:val="1"/>
    <w:next w:val="1"/>
    <w:link w:val="35"/>
    <w:qFormat/>
    <w:uiPriority w:val="9"/>
    <w:pPr>
      <w:keepLines/>
      <w:numPr>
        <w:ilvl w:val="2"/>
        <w:numId w:val="1"/>
      </w:numPr>
      <w:ind w:firstLine="624" w:firstLineChars="0"/>
      <w:outlineLvl w:val="2"/>
    </w:pPr>
    <w:rPr>
      <w:b/>
    </w:rPr>
  </w:style>
  <w:style w:type="paragraph" w:styleId="5">
    <w:name w:val="heading 4"/>
    <w:basedOn w:val="1"/>
    <w:next w:val="1"/>
    <w:qFormat/>
    <w:uiPriority w:val="9"/>
    <w:pPr>
      <w:keepNext w:val="0"/>
      <w:keepLines/>
      <w:numPr>
        <w:ilvl w:val="3"/>
        <w:numId w:val="1"/>
      </w:numPr>
      <w:spacing w:line="240" w:lineRule="auto"/>
      <w:ind w:firstLine="402" w:firstLineChars="0"/>
      <w:outlineLvl w:val="3"/>
    </w:pPr>
    <w:rPr>
      <w:b/>
      <w:bCs/>
    </w:rPr>
  </w:style>
  <w:style w:type="paragraph" w:styleId="6">
    <w:name w:val="heading 5"/>
    <w:basedOn w:val="1"/>
    <w:next w:val="1"/>
    <w:qFormat/>
    <w:uiPriority w:val="9"/>
    <w:pPr>
      <w:keepNext/>
      <w:keepLines/>
      <w:numPr>
        <w:ilvl w:val="4"/>
        <w:numId w:val="1"/>
      </w:numPr>
      <w:spacing w:before="280" w:after="290" w:line="372" w:lineRule="auto"/>
      <w:ind w:firstLine="402" w:firstLineChars="0"/>
      <w:outlineLvl w:val="4"/>
    </w:pPr>
    <w:rPr>
      <w:b/>
      <w:sz w:val="28"/>
    </w:rPr>
  </w:style>
  <w:style w:type="paragraph" w:styleId="7">
    <w:name w:val="heading 6"/>
    <w:basedOn w:val="1"/>
    <w:next w:val="1"/>
    <w:qFormat/>
    <w:uiPriority w:val="9"/>
    <w:pPr>
      <w:keepNext/>
      <w:keepLines/>
      <w:numPr>
        <w:ilvl w:val="5"/>
        <w:numId w:val="1"/>
      </w:numPr>
      <w:spacing w:before="240" w:after="64" w:line="317" w:lineRule="auto"/>
      <w:ind w:firstLine="402" w:firstLineChars="0"/>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ind w:firstLine="402" w:firstLineChars="0"/>
      <w:outlineLvl w:val="6"/>
    </w:pPr>
    <w:rPr>
      <w:b/>
      <w:sz w:val="24"/>
    </w:rPr>
  </w:style>
  <w:style w:type="paragraph" w:styleId="9">
    <w:name w:val="heading 8"/>
    <w:basedOn w:val="1"/>
    <w:next w:val="1"/>
    <w:qFormat/>
    <w:uiPriority w:val="9"/>
    <w:pPr>
      <w:keepNext/>
      <w:keepLines/>
      <w:numPr>
        <w:ilvl w:val="7"/>
        <w:numId w:val="1"/>
      </w:numPr>
      <w:spacing w:before="240" w:after="64" w:line="317" w:lineRule="auto"/>
      <w:ind w:firstLine="402" w:firstLineChars="0"/>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ind w:firstLine="402" w:firstLineChars="0"/>
      <w:outlineLvl w:val="8"/>
    </w:pPr>
    <w:rPr>
      <w:rFonts w:ascii="Arial" w:hAnsi="Arial" w:eastAsia="黑体"/>
      <w:sz w:val="21"/>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Date"/>
    <w:basedOn w:val="1"/>
    <w:next w:val="1"/>
    <w:link w:val="34"/>
    <w:unhideWhenUsed/>
    <w:qFormat/>
    <w:uiPriority w:val="99"/>
    <w:pPr>
      <w:ind w:left="100" w:leftChars="2500"/>
    </w:pPr>
  </w:style>
  <w:style w:type="paragraph" w:styleId="12">
    <w:name w:val="footer"/>
    <w:basedOn w:val="1"/>
    <w:link w:val="33"/>
    <w:unhideWhenUsed/>
    <w:qFormat/>
    <w:uiPriority w:val="99"/>
    <w:pPr>
      <w:tabs>
        <w:tab w:val="center" w:pos="4153"/>
        <w:tab w:val="right" w:pos="8306"/>
      </w:tabs>
      <w:snapToGrid w:val="0"/>
      <w:jc w:val="left"/>
    </w:pPr>
    <w:rPr>
      <w:sz w:val="28"/>
      <w:szCs w:val="18"/>
    </w:rPr>
  </w:style>
  <w:style w:type="paragraph" w:styleId="1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link w:val="37"/>
    <w:qFormat/>
    <w:uiPriority w:val="10"/>
    <w:pPr>
      <w:spacing w:line="700" w:lineRule="exact"/>
      <w:ind w:firstLine="0" w:firstLineChars="0"/>
      <w:jc w:val="center"/>
      <w:outlineLvl w:val="0"/>
    </w:pPr>
    <w:rPr>
      <w:rFonts w:ascii="方正小标宋简体" w:hAnsi="Calibri Light" w:eastAsia="方正小标宋简体" w:cs="Times New Roman"/>
      <w:bCs/>
      <w:sz w:val="4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unhideWhenUsed/>
    <w:qFormat/>
    <w:uiPriority w:val="99"/>
    <w:rPr>
      <w:rFonts w:ascii="宋体" w:hAnsi="宋体" w:eastAsia="宋体" w:cs="宋体"/>
      <w:sz w:val="28"/>
      <w:szCs w:val="28"/>
    </w:rPr>
  </w:style>
  <w:style w:type="character" w:styleId="20">
    <w:name w:val="FollowedHyperlink"/>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qFormat/>
    <w:uiPriority w:val="0"/>
    <w:rPr>
      <w:color w:val="333333"/>
      <w:u w:val="none"/>
    </w:rPr>
  </w:style>
  <w:style w:type="character" w:styleId="25">
    <w:name w:val="HTML Code"/>
    <w:basedOn w:val="18"/>
    <w:qFormat/>
    <w:uiPriority w:val="0"/>
    <w:rPr>
      <w:rFonts w:ascii="Courier New" w:hAnsi="Courier New"/>
      <w:sz w:val="20"/>
    </w:rPr>
  </w:style>
  <w:style w:type="character" w:styleId="26">
    <w:name w:val="HTML Cite"/>
    <w:basedOn w:val="18"/>
    <w:qFormat/>
    <w:uiPriority w:val="0"/>
  </w:style>
  <w:style w:type="paragraph" w:customStyle="1" w:styleId="27">
    <w:name w:val="_Style 21"/>
    <w:basedOn w:val="1"/>
    <w:next w:val="1"/>
    <w:qFormat/>
    <w:uiPriority w:val="0"/>
    <w:pPr>
      <w:pBdr>
        <w:top w:val="single" w:color="auto" w:sz="6" w:space="1"/>
      </w:pBdr>
      <w:jc w:val="center"/>
    </w:pPr>
    <w:rPr>
      <w:rFonts w:ascii="Arial" w:eastAsia="宋体"/>
      <w:vanish/>
      <w:sz w:val="16"/>
    </w:rPr>
  </w:style>
  <w:style w:type="paragraph" w:customStyle="1" w:styleId="28">
    <w:name w:val="版记"/>
    <w:basedOn w:val="1"/>
    <w:next w:val="1"/>
    <w:qFormat/>
    <w:uiPriority w:val="0"/>
    <w:pPr>
      <w:ind w:left="316" w:leftChars="100" w:right="316" w:rightChars="100" w:firstLine="0" w:firstLineChars="0"/>
    </w:pPr>
    <w:rPr>
      <w:sz w:val="28"/>
    </w:rPr>
  </w:style>
  <w:style w:type="paragraph" w:customStyle="1" w:styleId="29">
    <w:name w:val="抬头"/>
    <w:basedOn w:val="30"/>
    <w:next w:val="1"/>
    <w:qFormat/>
    <w:uiPriority w:val="0"/>
    <w:pPr>
      <w:spacing w:line="240" w:lineRule="auto"/>
      <w:jc w:val="left"/>
    </w:pPr>
    <w:rPr>
      <w:rFonts w:ascii="仿宋_GB2312" w:hAnsi="仿宋_GB2312" w:eastAsia="仿宋_GB2312" w:cs="仿宋_GB2312"/>
      <w:sz w:val="32"/>
      <w:szCs w:val="32"/>
    </w:rPr>
  </w:style>
  <w:style w:type="paragraph" w:customStyle="1" w:styleId="30">
    <w:name w:val="大标题"/>
    <w:basedOn w:val="1"/>
    <w:qFormat/>
    <w:uiPriority w:val="0"/>
    <w:pPr>
      <w:spacing w:line="700" w:lineRule="exact"/>
      <w:ind w:firstLine="0" w:firstLineChars="0"/>
      <w:jc w:val="center"/>
    </w:pPr>
    <w:rPr>
      <w:rFonts w:ascii="方正小标宋简体" w:hAnsi="方正小标宋简体" w:eastAsia="方正小标宋简体" w:cs="方正小标宋简体"/>
      <w:sz w:val="44"/>
      <w:szCs w:val="44"/>
    </w:rPr>
  </w:style>
  <w:style w:type="paragraph" w:customStyle="1" w:styleId="31">
    <w:name w:val="_Style 25"/>
    <w:basedOn w:val="1"/>
    <w:next w:val="1"/>
    <w:qFormat/>
    <w:uiPriority w:val="0"/>
    <w:pPr>
      <w:pBdr>
        <w:bottom w:val="single" w:color="auto" w:sz="6" w:space="1"/>
      </w:pBdr>
      <w:jc w:val="center"/>
    </w:pPr>
    <w:rPr>
      <w:rFonts w:ascii="Arial" w:eastAsia="宋体"/>
      <w:vanish/>
      <w:sz w:val="16"/>
    </w:rPr>
  </w:style>
  <w:style w:type="paragraph" w:customStyle="1" w:styleId="32">
    <w:name w:val="附件"/>
    <w:basedOn w:val="1"/>
    <w:link w:val="36"/>
    <w:qFormat/>
    <w:uiPriority w:val="0"/>
    <w:pPr>
      <w:ind w:firstLine="500" w:firstLineChars="500"/>
    </w:pPr>
  </w:style>
  <w:style w:type="character" w:customStyle="1" w:styleId="33">
    <w:name w:val="页脚 Char"/>
    <w:link w:val="12"/>
    <w:qFormat/>
    <w:uiPriority w:val="99"/>
    <w:rPr>
      <w:rFonts w:ascii="仿宋_GB2312" w:hAnsi="仿宋_GB2312" w:eastAsia="仿宋_GB2312" w:cs="仿宋_GB2312"/>
      <w:kern w:val="2"/>
      <w:sz w:val="28"/>
      <w:szCs w:val="18"/>
    </w:rPr>
  </w:style>
  <w:style w:type="character" w:customStyle="1" w:styleId="34">
    <w:name w:val="日期 Char"/>
    <w:link w:val="11"/>
    <w:semiHidden/>
    <w:qFormat/>
    <w:uiPriority w:val="99"/>
    <w:rPr>
      <w:rFonts w:ascii="仿宋_GB2312" w:hAnsi="仿宋_GB2312" w:eastAsia="仿宋_GB2312" w:cs="仿宋_GB2312"/>
      <w:kern w:val="2"/>
      <w:sz w:val="32"/>
      <w:szCs w:val="32"/>
    </w:rPr>
  </w:style>
  <w:style w:type="character" w:customStyle="1" w:styleId="35">
    <w:name w:val="标题 3 Char"/>
    <w:link w:val="4"/>
    <w:qFormat/>
    <w:uiPriority w:val="9"/>
    <w:rPr>
      <w:rFonts w:ascii="仿宋_GB2312" w:hAnsi="仿宋_GB2312" w:eastAsia="仿宋_GB2312" w:cs="仿宋_GB2312"/>
      <w:b/>
      <w:kern w:val="2"/>
      <w:sz w:val="32"/>
      <w:szCs w:val="32"/>
    </w:rPr>
  </w:style>
  <w:style w:type="character" w:customStyle="1" w:styleId="36">
    <w:name w:val="附件 Char"/>
    <w:link w:val="32"/>
    <w:qFormat/>
    <w:uiPriority w:val="0"/>
    <w:rPr>
      <w:rFonts w:ascii="仿宋_GB2312" w:hAnsi="仿宋_GB2312" w:eastAsia="仿宋_GB2312" w:cs="仿宋_GB2312"/>
      <w:kern w:val="2"/>
      <w:sz w:val="32"/>
      <w:szCs w:val="32"/>
    </w:rPr>
  </w:style>
  <w:style w:type="character" w:customStyle="1" w:styleId="37">
    <w:name w:val="标题 Char"/>
    <w:link w:val="15"/>
    <w:qFormat/>
    <w:uiPriority w:val="10"/>
    <w:rPr>
      <w:rFonts w:ascii="方正小标宋简体" w:hAnsi="Calibri Light" w:eastAsia="方正小标宋简体" w:cs="Times New Roman"/>
      <w:bCs/>
      <w:kern w:val="2"/>
      <w:sz w:val="44"/>
      <w:szCs w:val="32"/>
    </w:rPr>
  </w:style>
  <w:style w:type="character" w:customStyle="1" w:styleId="38">
    <w:name w:val="标题 2 Char"/>
    <w:link w:val="3"/>
    <w:qFormat/>
    <w:uiPriority w:val="9"/>
    <w:rPr>
      <w:rFonts w:ascii="楷体_GB2312" w:hAnsi="楷体_GB2312" w:eastAsia="楷体_GB2312" w:cs="楷体_GB2312"/>
      <w:b/>
      <w:bCs/>
      <w:kern w:val="2"/>
      <w:sz w:val="32"/>
      <w:szCs w:val="32"/>
    </w:rPr>
  </w:style>
  <w:style w:type="character" w:customStyle="1" w:styleId="39">
    <w:name w:val="NormalCharacter"/>
    <w:qFormat/>
    <w:uiPriority w:val="0"/>
  </w:style>
  <w:style w:type="paragraph" w:customStyle="1" w:styleId="40">
    <w:name w:val="Normal Indent1"/>
    <w:basedOn w:val="1"/>
    <w:uiPriority w:val="0"/>
    <w:pPr>
      <w:ind w:firstLine="880" w:firstLineChars="200"/>
    </w:pPr>
  </w:style>
  <w:style w:type="paragraph" w:customStyle="1" w:styleId="41">
    <w:name w:val="index 6"/>
    <w:basedOn w:val="1"/>
    <w:next w:val="1"/>
    <w:qFormat/>
    <w:uiPriority w:val="0"/>
    <w:pPr>
      <w:ind w:left="1000" w:leftChars="10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AppData\Roaming\kingsoft\office6\templates\wps\zh_CN\3-&#21830;&#24066;&#35268;&#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3-商市规函.dot</Template>
  <Pages>16</Pages>
  <Words>6643</Words>
  <Characters>7115</Characters>
  <Lines>4</Lines>
  <Paragraphs>1</Paragraphs>
  <TotalTime>2</TotalTime>
  <ScaleCrop>false</ScaleCrop>
  <LinksUpToDate>false</LinksUpToDate>
  <CharactersWithSpaces>7200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2019-03-20T06:32:00Z</dcterms:created>
  <dc:creator>bgs</dc:creator>
  <cp:lastModifiedBy>Administrator</cp:lastModifiedBy>
  <cp:lastPrinted>2021-03-12T04:05:00Z</cp:lastPrinted>
  <dcterms:modified xsi:type="dcterms:W3CDTF">2022-05-07T08:00:41Z</dcterms:modified>
  <dc:title>商洛市城乡建设规划局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1B31E58C6F0B468786925EDBDC3AE1C1</vt:lpwstr>
  </property>
</Properties>
</file>