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hint="eastAsia" w:ascii="黑体" w:hAnsi="黑体" w:eastAsia="黑体" w:cs="黑体"/>
          <w:kern w:val="0"/>
          <w:sz w:val="32"/>
          <w:szCs w:val="32"/>
          <w:highlight w:val="none"/>
        </w:rPr>
      </w:pPr>
    </w:p>
    <w:p>
      <w:pPr>
        <w:widowControl/>
        <w:jc w:val="center"/>
        <w:rPr>
          <w:rFonts w:hint="eastAsia" w:ascii="方正小标宋简体" w:hAnsi="方正小标宋简体" w:eastAsia="方正小标宋简体" w:cs="方正小标宋简体"/>
          <w:b/>
          <w:kern w:val="0"/>
          <w:sz w:val="52"/>
          <w:szCs w:val="52"/>
          <w:highlight w:val="none"/>
        </w:rPr>
      </w:pPr>
      <w:r>
        <w:rPr>
          <w:rFonts w:hint="eastAsia" w:ascii="方正小标宋简体" w:hAnsi="方正小标宋简体" w:eastAsia="方正小标宋简体" w:cs="方正小标宋简体"/>
          <w:b/>
          <w:kern w:val="0"/>
          <w:sz w:val="52"/>
          <w:szCs w:val="52"/>
          <w:highlight w:val="none"/>
        </w:rPr>
        <w:t>商洛市应急救援中心</w:t>
      </w:r>
    </w:p>
    <w:p>
      <w:pPr>
        <w:widowControl/>
        <w:jc w:val="center"/>
        <w:rPr>
          <w:rFonts w:hint="eastAsia" w:ascii="方正小标宋简体" w:hAnsi="方正小标宋简体" w:eastAsia="方正小标宋简体" w:cs="方正小标宋简体"/>
          <w:b/>
          <w:kern w:val="0"/>
          <w:sz w:val="52"/>
          <w:szCs w:val="52"/>
          <w:highlight w:val="none"/>
        </w:rPr>
      </w:pPr>
      <w:r>
        <w:rPr>
          <w:rFonts w:hint="eastAsia" w:ascii="方正小标宋简体" w:hAnsi="方正小标宋简体" w:eastAsia="方正小标宋简体" w:cs="方正小标宋简体"/>
          <w:b/>
          <w:kern w:val="0"/>
          <w:sz w:val="52"/>
          <w:szCs w:val="52"/>
          <w:highlight w:val="none"/>
        </w:rPr>
        <w:t>2020 年部门决算</w:t>
      </w:r>
    </w:p>
    <w:p>
      <w:pPr>
        <w:widowControl/>
        <w:jc w:val="center"/>
        <w:rPr>
          <w:rFonts w:ascii="黑体" w:hAnsi="黑体" w:eastAsia="黑体" w:cs="黑体"/>
          <w:kern w:val="0"/>
          <w:sz w:val="72"/>
          <w:szCs w:val="72"/>
          <w:highlight w:val="none"/>
        </w:rPr>
      </w:pPr>
    </w:p>
    <w:p>
      <w:pPr>
        <w:widowControl/>
        <w:jc w:val="center"/>
        <w:rPr>
          <w:rFonts w:ascii="黑体" w:hAnsi="黑体" w:eastAsia="黑体" w:cs="黑体"/>
          <w:kern w:val="0"/>
          <w:sz w:val="72"/>
          <w:szCs w:val="7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jc w:val="center"/>
        <w:rPr>
          <w:rFonts w:hint="default" w:ascii="黑体" w:hAnsi="黑体" w:eastAsia="黑体" w:cs="黑体"/>
          <w:sz w:val="30"/>
          <w:szCs w:val="30"/>
          <w:highlight w:val="none"/>
          <w:lang w:val="en-US" w:eastAsia="zh-CN"/>
        </w:rPr>
      </w:pPr>
      <w:r>
        <w:rPr>
          <w:rFonts w:hint="eastAsia" w:ascii="黑体" w:hAnsi="黑体" w:eastAsia="黑体" w:cs="黑体"/>
          <w:sz w:val="30"/>
          <w:szCs w:val="30"/>
          <w:highlight w:val="none"/>
        </w:rPr>
        <w:t>保密审查情况</w:t>
      </w:r>
      <w:r>
        <w:rPr>
          <w:rFonts w:hint="eastAsia" w:ascii="黑体" w:hAnsi="黑体" w:eastAsia="黑体" w:cs="黑体"/>
          <w:sz w:val="30"/>
          <w:szCs w:val="30"/>
          <w:highlight w:val="none"/>
          <w:lang w:eastAsia="zh-CN"/>
        </w:rPr>
        <w:t>：</w:t>
      </w:r>
      <w:r>
        <w:rPr>
          <w:rFonts w:hint="eastAsia" w:ascii="黑体" w:hAnsi="黑体" w:eastAsia="黑体" w:cs="黑体"/>
          <w:sz w:val="30"/>
          <w:szCs w:val="30"/>
          <w:highlight w:val="none"/>
          <w:lang w:val="en-US" w:eastAsia="zh-CN"/>
        </w:rPr>
        <w:t>已审查</w:t>
      </w:r>
    </w:p>
    <w:p>
      <w:pPr>
        <w:widowControl/>
        <w:spacing w:line="560" w:lineRule="exact"/>
        <w:jc w:val="center"/>
        <w:rPr>
          <w:rFonts w:hint="eastAsia" w:ascii="黑体" w:hAnsi="黑体" w:eastAsia="黑体" w:cs="黑体"/>
          <w:sz w:val="30"/>
          <w:szCs w:val="30"/>
          <w:highlight w:val="none"/>
          <w:lang w:eastAsia="zh-CN"/>
        </w:rPr>
      </w:pPr>
      <w:r>
        <w:rPr>
          <w:rFonts w:hint="eastAsia" w:ascii="黑体" w:hAnsi="黑体" w:eastAsia="黑体" w:cs="黑体"/>
          <w:sz w:val="30"/>
          <w:szCs w:val="30"/>
          <w:highlight w:val="none"/>
        </w:rPr>
        <w:t>部门主要负责人</w:t>
      </w:r>
      <w:r>
        <w:rPr>
          <w:rFonts w:hint="eastAsia" w:ascii="黑体" w:hAnsi="黑体" w:eastAsia="黑体" w:cs="黑体"/>
          <w:sz w:val="30"/>
          <w:szCs w:val="30"/>
          <w:highlight w:val="none"/>
          <w:lang w:eastAsia="zh-CN"/>
        </w:rPr>
        <w:t>：</w:t>
      </w:r>
    </w:p>
    <w:p>
      <w:pPr>
        <w:widowControl/>
        <w:spacing w:line="560" w:lineRule="exact"/>
        <w:jc w:val="center"/>
        <w:rPr>
          <w:rFonts w:hint="eastAsia" w:ascii="黑体" w:hAnsi="黑体" w:eastAsia="黑体" w:cs="黑体"/>
          <w:kern w:val="0"/>
          <w:sz w:val="30"/>
          <w:szCs w:val="30"/>
          <w:highlight w:val="none"/>
          <w:lang w:val="en-US" w:eastAsia="zh-CN"/>
        </w:rPr>
      </w:pPr>
      <w:r>
        <w:rPr>
          <w:rFonts w:hint="eastAsia" w:ascii="黑体" w:hAnsi="黑体" w:eastAsia="黑体" w:cs="黑体"/>
          <w:sz w:val="30"/>
          <w:szCs w:val="30"/>
          <w:highlight w:val="none"/>
        </w:rPr>
        <w:t>审签情况：</w:t>
      </w:r>
      <w:r>
        <w:rPr>
          <w:rFonts w:hint="eastAsia" w:ascii="黑体" w:hAnsi="黑体" w:eastAsia="黑体" w:cs="黑体"/>
          <w:sz w:val="30"/>
          <w:szCs w:val="30"/>
          <w:highlight w:val="none"/>
          <w:lang w:val="en-US" w:eastAsia="zh-CN"/>
        </w:rPr>
        <w:t>已审签</w:t>
      </w: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rPr>
          <w:rFonts w:ascii="仿宋_GB2312" w:hAnsi="仿宋_GB2312" w:eastAsia="仿宋_GB2312" w:cs="仿宋_GB2312"/>
          <w:kern w:val="0"/>
          <w:sz w:val="32"/>
          <w:szCs w:val="32"/>
          <w:highlight w:val="none"/>
        </w:rPr>
      </w:pPr>
    </w:p>
    <w:p>
      <w:pPr>
        <w:widowControl/>
        <w:spacing w:line="560" w:lineRule="exact"/>
        <w:jc w:val="left"/>
        <w:rPr>
          <w:rFonts w:ascii="仿宋_GB2312" w:hAnsi="仿宋_GB2312" w:eastAsia="仿宋_GB2312" w:cs="仿宋_GB2312"/>
          <w:kern w:val="0"/>
          <w:sz w:val="32"/>
          <w:szCs w:val="32"/>
          <w:highlight w:val="none"/>
        </w:rPr>
      </w:pPr>
    </w:p>
    <w:p>
      <w:pPr>
        <w:widowControl/>
        <w:spacing w:line="560" w:lineRule="exact"/>
        <w:jc w:val="center"/>
        <w:rPr>
          <w:rFonts w:hint="eastAsia" w:ascii="黑体" w:hAnsi="黑体" w:eastAsia="黑体" w:cs="黑体"/>
          <w:b w:val="0"/>
          <w:bCs/>
          <w:kern w:val="0"/>
          <w:sz w:val="32"/>
          <w:szCs w:val="32"/>
          <w:highlight w:val="none"/>
        </w:rPr>
      </w:pPr>
    </w:p>
    <w:p>
      <w:pPr>
        <w:widowControl/>
        <w:spacing w:line="560" w:lineRule="exact"/>
        <w:jc w:val="center"/>
        <w:rPr>
          <w:rFonts w:hint="eastAsia" w:ascii="黑体" w:hAnsi="黑体" w:eastAsia="黑体" w:cs="黑体"/>
          <w:b w:val="0"/>
          <w:bCs/>
          <w:kern w:val="0"/>
          <w:sz w:val="32"/>
          <w:szCs w:val="32"/>
          <w:highlight w:val="none"/>
        </w:rPr>
      </w:pPr>
      <w:r>
        <w:rPr>
          <w:rFonts w:hint="eastAsia" w:ascii="黑体" w:hAnsi="黑体" w:eastAsia="黑体" w:cs="黑体"/>
          <w:b w:val="0"/>
          <w:bCs/>
          <w:kern w:val="0"/>
          <w:sz w:val="32"/>
          <w:szCs w:val="32"/>
          <w:highlight w:val="none"/>
        </w:rPr>
        <w:t>目 录</w:t>
      </w:r>
    </w:p>
    <w:p>
      <w:pPr>
        <w:widowControl/>
        <w:spacing w:line="560" w:lineRule="exact"/>
        <w:jc w:val="center"/>
        <w:rPr>
          <w:rFonts w:ascii="方正小标宋简体" w:hAnsi="方正小标宋简体" w:eastAsia="方正小标宋简体" w:cs="方正小标宋简体"/>
          <w:b w:val="0"/>
          <w:bCs/>
          <w:kern w:val="0"/>
          <w:sz w:val="32"/>
          <w:szCs w:val="32"/>
          <w:highlight w:val="none"/>
        </w:rPr>
      </w:pPr>
      <w:r>
        <w:rPr>
          <w:rFonts w:hint="eastAsia" w:ascii="方正小标宋简体" w:hAnsi="方正小标宋简体" w:eastAsia="方正小标宋简体" w:cs="方正小标宋简体"/>
          <w:b w:val="0"/>
          <w:bCs/>
          <w:kern w:val="0"/>
          <w:sz w:val="32"/>
          <w:szCs w:val="32"/>
          <w:highlight w:val="none"/>
        </w:rPr>
        <w:t>第一部分 部门概况</w:t>
      </w:r>
    </w:p>
    <w:p>
      <w:pPr>
        <w:widowControl/>
        <w:spacing w:line="560" w:lineRule="exact"/>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一、部门主要职责及内设机构</w:t>
      </w:r>
    </w:p>
    <w:p>
      <w:pPr>
        <w:widowControl/>
        <w:spacing w:line="560" w:lineRule="exact"/>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二、部门决算单位构成</w:t>
      </w:r>
    </w:p>
    <w:p>
      <w:pPr>
        <w:widowControl/>
        <w:spacing w:line="560" w:lineRule="exact"/>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三、部门人员情况</w:t>
      </w:r>
    </w:p>
    <w:p>
      <w:pPr>
        <w:widowControl/>
        <w:spacing w:line="560" w:lineRule="exact"/>
        <w:jc w:val="center"/>
        <w:rPr>
          <w:rFonts w:ascii="方正小标宋简体" w:hAnsi="方正小标宋简体" w:eastAsia="方正小标宋简体" w:cs="方正小标宋简体"/>
          <w:b w:val="0"/>
          <w:bCs/>
          <w:kern w:val="0"/>
          <w:sz w:val="32"/>
          <w:szCs w:val="32"/>
          <w:highlight w:val="none"/>
        </w:rPr>
      </w:pPr>
      <w:r>
        <w:rPr>
          <w:rFonts w:hint="eastAsia" w:ascii="方正小标宋简体" w:hAnsi="方正小标宋简体" w:eastAsia="方正小标宋简体" w:cs="方正小标宋简体"/>
          <w:b w:val="0"/>
          <w:bCs/>
          <w:kern w:val="0"/>
          <w:sz w:val="32"/>
          <w:szCs w:val="32"/>
          <w:highlight w:val="none"/>
        </w:rPr>
        <w:t>第二部分 2020 年部门决算表</w:t>
      </w:r>
    </w:p>
    <w:p>
      <w:pPr>
        <w:widowControl/>
        <w:spacing w:line="560" w:lineRule="exact"/>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一、收入支出决算总表</w:t>
      </w:r>
    </w:p>
    <w:p>
      <w:pPr>
        <w:widowControl/>
        <w:spacing w:line="560" w:lineRule="exact"/>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二、收入决算总表</w:t>
      </w:r>
    </w:p>
    <w:p>
      <w:pPr>
        <w:widowControl/>
        <w:spacing w:line="560" w:lineRule="exact"/>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三、支出决算总表</w:t>
      </w:r>
    </w:p>
    <w:p>
      <w:pPr>
        <w:widowControl/>
        <w:spacing w:line="560" w:lineRule="exact"/>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四、财政拨款收入支出决算总表</w:t>
      </w:r>
    </w:p>
    <w:p>
      <w:pPr>
        <w:widowControl/>
        <w:spacing w:line="560" w:lineRule="exact"/>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五、一般公共预算财政拨款支出决算表</w:t>
      </w:r>
    </w:p>
    <w:p>
      <w:pPr>
        <w:widowControl/>
        <w:spacing w:line="560" w:lineRule="exact"/>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六、一般公共预算财政拨款基本支出决算表</w:t>
      </w:r>
    </w:p>
    <w:p>
      <w:pPr>
        <w:widowControl/>
        <w:spacing w:line="560" w:lineRule="exact"/>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七、一般公共预算财政拨款“三公”经费及会议费、培训费</w:t>
      </w:r>
    </w:p>
    <w:p>
      <w:pPr>
        <w:widowControl/>
        <w:spacing w:line="560" w:lineRule="exact"/>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支出决算表</w:t>
      </w:r>
    </w:p>
    <w:p>
      <w:pPr>
        <w:widowControl/>
        <w:spacing w:line="560" w:lineRule="exact"/>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八、政府性基金预算财政拨款收入支出决算表</w:t>
      </w:r>
    </w:p>
    <w:p>
      <w:pPr>
        <w:widowControl/>
        <w:spacing w:line="560" w:lineRule="exact"/>
        <w:jc w:val="left"/>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kern w:val="0"/>
          <w:sz w:val="32"/>
          <w:szCs w:val="32"/>
          <w:highlight w:val="none"/>
        </w:rPr>
        <w:t>九、</w:t>
      </w:r>
      <w:r>
        <w:rPr>
          <w:rFonts w:hint="eastAsia" w:ascii="仿宋_GB2312" w:hAnsi="仿宋_GB2312" w:eastAsia="仿宋_GB2312" w:cs="仿宋_GB2312"/>
          <w:color w:val="000000"/>
          <w:kern w:val="0"/>
          <w:sz w:val="32"/>
          <w:szCs w:val="32"/>
          <w:highlight w:val="none"/>
          <w:lang w:bidi="ar"/>
        </w:rPr>
        <w:t>国有资本经营预算财政拨款支出决算表</w:t>
      </w:r>
    </w:p>
    <w:p>
      <w:pPr>
        <w:widowControl/>
        <w:spacing w:line="560" w:lineRule="exact"/>
        <w:jc w:val="center"/>
        <w:rPr>
          <w:rFonts w:ascii="方正小标宋简体" w:hAnsi="方正小标宋简体" w:eastAsia="方正小标宋简体" w:cs="方正小标宋简体"/>
          <w:b w:val="0"/>
          <w:bCs/>
          <w:kern w:val="0"/>
          <w:sz w:val="32"/>
          <w:szCs w:val="32"/>
          <w:highlight w:val="none"/>
        </w:rPr>
      </w:pPr>
      <w:r>
        <w:rPr>
          <w:rFonts w:hint="eastAsia" w:ascii="方正小标宋简体" w:hAnsi="方正小标宋简体" w:eastAsia="方正小标宋简体" w:cs="方正小标宋简体"/>
          <w:b w:val="0"/>
          <w:bCs/>
          <w:kern w:val="0"/>
          <w:sz w:val="32"/>
          <w:szCs w:val="32"/>
          <w:highlight w:val="none"/>
        </w:rPr>
        <w:t>第三部分 2020 年部门决算情况说明</w:t>
      </w:r>
    </w:p>
    <w:p>
      <w:pPr>
        <w:widowControl/>
        <w:jc w:val="left"/>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bidi="ar"/>
        </w:rPr>
        <w:t xml:space="preserve">一、收入支出决算总体情况说明   </w:t>
      </w:r>
    </w:p>
    <w:p>
      <w:pPr>
        <w:widowControl/>
        <w:jc w:val="left"/>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bidi="ar"/>
        </w:rPr>
        <w:t xml:space="preserve">二、收入决算情况说明     </w:t>
      </w:r>
    </w:p>
    <w:p>
      <w:pPr>
        <w:widowControl/>
        <w:jc w:val="left"/>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bidi="ar"/>
        </w:rPr>
        <w:t xml:space="preserve">三、支出决算情况说明    </w:t>
      </w:r>
    </w:p>
    <w:p>
      <w:pPr>
        <w:widowControl/>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bidi="ar"/>
        </w:rPr>
        <w:t xml:space="preserve">四、财政拨款收入支出决算总体情况说明    </w:t>
      </w:r>
    </w:p>
    <w:p>
      <w:pPr>
        <w:widowControl/>
        <w:jc w:val="left"/>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bidi="ar"/>
        </w:rPr>
        <w:t xml:space="preserve">五、一般公共预算财政拨款支出决算情况说明 </w:t>
      </w:r>
    </w:p>
    <w:p>
      <w:pPr>
        <w:widowControl/>
        <w:jc w:val="left"/>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bidi="ar"/>
        </w:rPr>
        <w:t xml:space="preserve">六、一般公共预算财政拨款基本支出决算情况说明   </w:t>
      </w:r>
    </w:p>
    <w:p>
      <w:pPr>
        <w:widowControl/>
        <w:ind w:left="640" w:hanging="640" w:hangingChars="200"/>
        <w:jc w:val="left"/>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bidi="ar"/>
        </w:rPr>
        <w:t xml:space="preserve">七、一般公共预算财政拨款“三公”经费及会议费、培训费支出决算情况说明  </w:t>
      </w:r>
    </w:p>
    <w:p>
      <w:pPr>
        <w:widowControl/>
        <w:jc w:val="left"/>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bidi="ar"/>
        </w:rPr>
        <w:t xml:space="preserve">八、政府性基金预算财政拨款收入支出情况说明 </w:t>
      </w:r>
    </w:p>
    <w:p>
      <w:pPr>
        <w:widowControl/>
        <w:jc w:val="left"/>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bidi="ar"/>
        </w:rPr>
        <w:t xml:space="preserve">九、国有资本经营财政拨款收入支出情况说明 </w:t>
      </w:r>
    </w:p>
    <w:p>
      <w:pPr>
        <w:widowControl/>
        <w:jc w:val="left"/>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bidi="ar"/>
        </w:rPr>
        <w:t xml:space="preserve">十、机关运行经费支出情况说明 </w:t>
      </w:r>
    </w:p>
    <w:p>
      <w:pPr>
        <w:widowControl/>
        <w:jc w:val="left"/>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bidi="ar"/>
        </w:rPr>
        <w:t xml:space="preserve">十一、政府采购支出情况说明 </w:t>
      </w:r>
    </w:p>
    <w:p>
      <w:pPr>
        <w:widowControl/>
        <w:jc w:val="left"/>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bidi="ar"/>
        </w:rPr>
        <w:t xml:space="preserve">十二、国有资产占用及购置情况说明 </w:t>
      </w:r>
    </w:p>
    <w:p>
      <w:pPr>
        <w:widowControl/>
        <w:jc w:val="left"/>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bidi="ar"/>
        </w:rPr>
        <w:t xml:space="preserve">十三、预算绩效情况说明 </w:t>
      </w:r>
    </w:p>
    <w:p>
      <w:pPr>
        <w:widowControl/>
        <w:spacing w:line="560" w:lineRule="exact"/>
        <w:jc w:val="center"/>
        <w:rPr>
          <w:rFonts w:hint="eastAsia" w:ascii="方正小标宋简体" w:hAnsi="方正小标宋简体" w:eastAsia="方正小标宋简体" w:cs="方正小标宋简体"/>
          <w:b w:val="0"/>
          <w:bCs/>
          <w:kern w:val="0"/>
          <w:sz w:val="32"/>
          <w:szCs w:val="32"/>
          <w:highlight w:val="none"/>
        </w:rPr>
      </w:pPr>
      <w:r>
        <w:rPr>
          <w:rFonts w:hint="eastAsia" w:ascii="方正小标宋简体" w:hAnsi="方正小标宋简体" w:eastAsia="方正小标宋简体" w:cs="方正小标宋简体"/>
          <w:b w:val="0"/>
          <w:bCs/>
          <w:kern w:val="0"/>
          <w:sz w:val="32"/>
          <w:szCs w:val="32"/>
          <w:highlight w:val="none"/>
        </w:rPr>
        <w:t>第四部分 专业名词解释</w:t>
      </w:r>
    </w:p>
    <w:p>
      <w:pPr>
        <w:widowControl/>
        <w:spacing w:line="560" w:lineRule="exact"/>
        <w:jc w:val="left"/>
        <w:rPr>
          <w:rFonts w:ascii="方正小标宋简体" w:hAnsi="方正小标宋简体" w:eastAsia="方正小标宋简体" w:cs="方正小标宋简体"/>
          <w:kern w:val="0"/>
          <w:sz w:val="32"/>
          <w:szCs w:val="32"/>
          <w:highlight w:val="none"/>
        </w:rPr>
      </w:pPr>
    </w:p>
    <w:p>
      <w:pPr>
        <w:widowControl/>
        <w:spacing w:line="560" w:lineRule="exact"/>
        <w:jc w:val="center"/>
        <w:rPr>
          <w:rFonts w:hint="eastAsia" w:ascii="方正小标宋简体" w:hAnsi="方正小标宋简体" w:eastAsia="方正小标宋简体" w:cs="方正小标宋简体"/>
          <w:b w:val="0"/>
          <w:bCs/>
          <w:kern w:val="0"/>
          <w:sz w:val="32"/>
          <w:szCs w:val="32"/>
          <w:highlight w:val="none"/>
        </w:rPr>
      </w:pPr>
      <w:r>
        <w:rPr>
          <w:rFonts w:hint="eastAsia" w:ascii="方正小标宋简体" w:hAnsi="方正小标宋简体" w:eastAsia="方正小标宋简体" w:cs="方正小标宋简体"/>
          <w:b w:val="0"/>
          <w:bCs/>
          <w:kern w:val="0"/>
          <w:sz w:val="32"/>
          <w:szCs w:val="32"/>
          <w:highlight w:val="none"/>
        </w:rPr>
        <w:t>第一部分 部门概况</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ascii="黑体" w:hAnsi="黑体" w:eastAsia="黑体" w:cs="黑体"/>
          <w:b/>
          <w:kern w:val="0"/>
          <w:sz w:val="32"/>
          <w:szCs w:val="32"/>
          <w:highlight w:val="none"/>
        </w:rPr>
      </w:pPr>
      <w:r>
        <w:rPr>
          <w:rFonts w:hint="eastAsia" w:ascii="黑体" w:hAnsi="黑体" w:eastAsia="黑体" w:cs="黑体"/>
          <w:b/>
          <w:kern w:val="0"/>
          <w:sz w:val="32"/>
          <w:szCs w:val="32"/>
          <w:highlight w:val="none"/>
        </w:rPr>
        <w:t>一、部门主要职责及内设机构</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bidi="ar"/>
        </w:rPr>
        <w:t>（一）主要职责</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val="en-US" w:eastAsia="zh-CN" w:bidi="ar"/>
        </w:rPr>
        <w:t>主要承担全市煤矿、非煤矿山、危险化学品、工矿商贸企业地面及井下安全检查；指导全市企业及兼职救援队伍开展</w:t>
      </w:r>
      <w:r>
        <w:rPr>
          <w:rFonts w:hint="eastAsia" w:ascii="仿宋_GB2312" w:hAnsi="仿宋_GB2312" w:eastAsia="仿宋_GB2312" w:cs="仿宋_GB2312"/>
          <w:color w:val="000000"/>
          <w:kern w:val="0"/>
          <w:sz w:val="32"/>
          <w:szCs w:val="32"/>
          <w:highlight w:val="none"/>
          <w:lang w:eastAsia="zh-CN" w:bidi="ar"/>
        </w:rPr>
        <w:t>自救、互救训练、</w:t>
      </w:r>
      <w:r>
        <w:rPr>
          <w:rFonts w:hint="eastAsia" w:ascii="仿宋_GB2312" w:hAnsi="仿宋_GB2312" w:eastAsia="仿宋_GB2312" w:cs="仿宋_GB2312"/>
          <w:color w:val="000000"/>
          <w:kern w:val="0"/>
          <w:sz w:val="32"/>
          <w:szCs w:val="32"/>
          <w:highlight w:val="none"/>
          <w:lang w:val="en-US" w:eastAsia="zh-CN" w:bidi="ar"/>
        </w:rPr>
        <w:t>演练、安全应急知识及业务培训、复训等任务;负责全市安全生产、自然灾害、</w:t>
      </w:r>
      <w:r>
        <w:rPr>
          <w:rFonts w:hint="eastAsia" w:ascii="仿宋_GB2312" w:hAnsi="仿宋_GB2312" w:eastAsia="仿宋_GB2312" w:cs="仿宋_GB2312"/>
          <w:color w:val="000000"/>
          <w:kern w:val="0"/>
          <w:sz w:val="32"/>
          <w:szCs w:val="32"/>
          <w:highlight w:val="none"/>
          <w:lang w:bidi="ar"/>
        </w:rPr>
        <w:t>综合防灾减灾</w:t>
      </w:r>
      <w:r>
        <w:rPr>
          <w:rFonts w:hint="eastAsia" w:ascii="仿宋_GB2312" w:hAnsi="仿宋_GB2312" w:eastAsia="仿宋_GB2312" w:cs="仿宋_GB2312"/>
          <w:color w:val="000000"/>
          <w:kern w:val="0"/>
          <w:sz w:val="32"/>
          <w:szCs w:val="32"/>
          <w:highlight w:val="none"/>
          <w:lang w:eastAsia="zh-CN" w:bidi="ar"/>
        </w:rPr>
        <w:t>及</w:t>
      </w:r>
      <w:r>
        <w:rPr>
          <w:rFonts w:hint="eastAsia" w:ascii="仿宋_GB2312" w:hAnsi="仿宋_GB2312" w:eastAsia="仿宋_GB2312" w:cs="仿宋_GB2312"/>
          <w:color w:val="000000"/>
          <w:kern w:val="0"/>
          <w:sz w:val="32"/>
          <w:szCs w:val="32"/>
          <w:highlight w:val="none"/>
          <w:lang w:val="en-US" w:eastAsia="zh-CN" w:bidi="ar"/>
        </w:rPr>
        <w:t>事故的应急救援处置等工作。陕西省安委会确定依托商洛市应急救援中心组建陕西省非煤矿山（商洛）应急救援队，要求</w:t>
      </w:r>
      <w:r>
        <w:rPr>
          <w:rFonts w:hint="eastAsia" w:ascii="仿宋_GB2312" w:hAnsi="仿宋_GB2312" w:eastAsia="仿宋_GB2312" w:cs="仿宋_GB2312"/>
          <w:color w:val="000000"/>
          <w:kern w:val="0"/>
          <w:sz w:val="32"/>
          <w:szCs w:val="32"/>
          <w:highlight w:val="none"/>
          <w:lang w:eastAsia="zh-CN" w:bidi="ar"/>
        </w:rPr>
        <w:t>承担全省非煤矿山等跨境救援任务。</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bidi="ar"/>
        </w:rPr>
        <w:t>（</w:t>
      </w:r>
      <w:r>
        <w:rPr>
          <w:rFonts w:hint="eastAsia" w:ascii="仿宋_GB2312" w:hAnsi="仿宋_GB2312" w:eastAsia="仿宋_GB2312" w:cs="仿宋_GB2312"/>
          <w:color w:val="000000"/>
          <w:kern w:val="0"/>
          <w:sz w:val="32"/>
          <w:szCs w:val="32"/>
          <w:highlight w:val="none"/>
          <w:lang w:val="en-US" w:eastAsia="zh-CN" w:bidi="ar"/>
        </w:rPr>
        <w:t>二</w:t>
      </w:r>
      <w:r>
        <w:rPr>
          <w:rFonts w:hint="eastAsia" w:ascii="仿宋_GB2312" w:hAnsi="仿宋_GB2312" w:eastAsia="仿宋_GB2312" w:cs="仿宋_GB2312"/>
          <w:color w:val="000000"/>
          <w:kern w:val="0"/>
          <w:sz w:val="32"/>
          <w:szCs w:val="32"/>
          <w:highlight w:val="none"/>
          <w:lang w:bidi="ar"/>
        </w:rPr>
        <w:t>）内设机构</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val="en-US" w:eastAsia="zh-CN" w:bidi="ar"/>
        </w:rPr>
        <w:t>单位内设四个小分队、办公室、作科及装备科。</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ascii="黑体" w:hAnsi="黑体" w:eastAsia="黑体" w:cs="黑体"/>
          <w:b/>
          <w:kern w:val="0"/>
          <w:sz w:val="32"/>
          <w:szCs w:val="32"/>
          <w:highlight w:val="none"/>
        </w:rPr>
      </w:pPr>
      <w:r>
        <w:rPr>
          <w:rFonts w:ascii="黑体" w:hAnsi="黑体" w:eastAsia="黑体" w:cs="黑体"/>
          <w:b/>
          <w:kern w:val="0"/>
          <w:sz w:val="32"/>
          <w:szCs w:val="32"/>
          <w:highlight w:val="none"/>
        </w:rPr>
        <w:t>二、部门决算单位构成</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纳入本部门2020年部门决算编制范围的单位包</w:t>
      </w:r>
      <w:r>
        <w:rPr>
          <w:rFonts w:hint="eastAsia" w:ascii="仿宋_GB2312" w:hAnsi="仿宋_GB2312" w:eastAsia="仿宋_GB2312" w:cs="仿宋_GB2312"/>
          <w:sz w:val="32"/>
          <w:szCs w:val="32"/>
          <w:highlight w:val="none"/>
        </w:rPr>
        <w:br w:type="textWrapping"/>
      </w:r>
      <w:r>
        <w:rPr>
          <w:rFonts w:hint="eastAsia" w:ascii="仿宋_GB2312" w:hAnsi="仿宋_GB2312" w:eastAsia="仿宋_GB2312" w:cs="仿宋_GB2312"/>
          <w:sz w:val="32"/>
          <w:szCs w:val="32"/>
          <w:highlight w:val="none"/>
        </w:rPr>
        <w:t>括本</w:t>
      </w:r>
      <w:r>
        <w:rPr>
          <w:rFonts w:hint="eastAsia" w:ascii="仿宋_GB2312" w:hAnsi="仿宋_GB2312" w:eastAsia="仿宋_GB2312" w:cs="仿宋_GB2312"/>
          <w:sz w:val="32"/>
          <w:szCs w:val="32"/>
          <w:highlight w:val="none"/>
          <w:lang w:val="en-US" w:eastAsia="zh-CN"/>
        </w:rPr>
        <w:t>部门1个</w:t>
      </w:r>
      <w:r>
        <w:rPr>
          <w:rFonts w:hint="eastAsia" w:ascii="仿宋_GB2312" w:hAnsi="仿宋_GB2312" w:eastAsia="仿宋_GB2312" w:cs="仿宋_GB2312"/>
          <w:sz w:val="32"/>
          <w:szCs w:val="32"/>
          <w:highlight w:val="none"/>
        </w:rPr>
        <w:t>单位</w:t>
      </w:r>
      <w:r>
        <w:rPr>
          <w:rFonts w:hint="eastAsia" w:ascii="仿宋_GB2312" w:hAnsi="仿宋_GB2312" w:eastAsia="仿宋_GB2312" w:cs="仿宋_GB2312"/>
          <w:sz w:val="32"/>
          <w:szCs w:val="32"/>
          <w:highlight w:val="none"/>
          <w:lang w:eastAsia="zh-CN"/>
        </w:rPr>
        <w:t>：</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6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序号</w:t>
            </w:r>
          </w:p>
        </w:tc>
        <w:tc>
          <w:tcPr>
            <w:tcW w:w="6616"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1</w:t>
            </w:r>
          </w:p>
        </w:tc>
        <w:tc>
          <w:tcPr>
            <w:tcW w:w="6616" w:type="dxa"/>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default"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商洛市应急救援中心</w:t>
            </w:r>
          </w:p>
        </w:tc>
      </w:tr>
    </w:tbl>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黑体" w:hAnsi="黑体" w:eastAsia="黑体" w:cs="黑体"/>
          <w:b/>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sz w:val="32"/>
          <w:szCs w:val="32"/>
          <w:highlight w:val="none"/>
        </w:rPr>
      </w:pPr>
      <w:r>
        <w:rPr>
          <w:rFonts w:ascii="黑体" w:hAnsi="黑体" w:eastAsia="黑体" w:cs="黑体"/>
          <w:b/>
          <w:kern w:val="0"/>
          <w:sz w:val="32"/>
          <w:szCs w:val="32"/>
          <w:highlight w:val="none"/>
        </w:rPr>
        <w:t>三、部门人员情况</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截止2020年底,</w:t>
      </w:r>
      <w:r>
        <w:rPr>
          <w:rFonts w:hint="eastAsia" w:ascii="仿宋_GB2312" w:hAnsi="仿宋_GB2312" w:eastAsia="仿宋_GB2312" w:cs="仿宋_GB2312"/>
          <w:sz w:val="32"/>
          <w:szCs w:val="32"/>
          <w:highlight w:val="none"/>
          <w:lang w:val="en-US" w:eastAsia="zh-CN"/>
        </w:rPr>
        <w:t>本部门人员编制32人，其中行政编制0人，事业编制32人；实有人员31人，其中行政0人，事业31人，单位管理的离退休人员8人。</w:t>
      </w:r>
    </w:p>
    <w:p>
      <w:pPr>
        <w:keepNext w:val="0"/>
        <w:keepLines w:val="0"/>
        <w:pageBreakBefore w:val="0"/>
        <w:widowControl w:val="0"/>
        <w:kinsoku/>
        <w:wordWrap/>
        <w:overflowPunct/>
        <w:topLinePunct w:val="0"/>
        <w:autoSpaceDE/>
        <w:autoSpaceDN/>
        <w:bidi w:val="0"/>
        <w:spacing w:line="240" w:lineRule="auto"/>
        <w:ind w:firstLine="420" w:firstLineChars="200"/>
        <w:jc w:val="both"/>
        <w:textAlignment w:val="auto"/>
        <w:rPr>
          <w:rFonts w:hint="eastAsia" w:ascii="仿宋_GB2312" w:hAnsi="仿宋_GB2312" w:eastAsia="仿宋_GB2312" w:cs="仿宋_GB2312"/>
          <w:sz w:val="32"/>
          <w:szCs w:val="32"/>
          <w:highlight w:val="none"/>
        </w:rPr>
      </w:pPr>
      <w:r>
        <w:rPr>
          <w:highlight w:val="none"/>
        </w:rPr>
        <w:drawing>
          <wp:inline distT="0" distB="0" distL="114300" distR="114300">
            <wp:extent cx="4572000" cy="2743200"/>
            <wp:effectExtent l="4445" t="4445" r="14605" b="14605"/>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kern w:val="0"/>
          <w:sz w:val="32"/>
          <w:szCs w:val="32"/>
          <w:highlight w:val="none"/>
        </w:rPr>
      </w:pPr>
      <w:r>
        <w:rPr>
          <w:rFonts w:hint="eastAsia" w:ascii="方正小标宋简体" w:hAnsi="方正小标宋简体" w:eastAsia="方正小标宋简体" w:cs="方正小标宋简体"/>
          <w:b w:val="0"/>
          <w:bCs/>
          <w:kern w:val="0"/>
          <w:sz w:val="32"/>
          <w:szCs w:val="32"/>
          <w:highlight w:val="none"/>
        </w:rPr>
        <w:t>第二部分  2020 年度部门决算表</w:t>
      </w:r>
    </w:p>
    <w:p>
      <w:pPr>
        <w:keepNext w:val="0"/>
        <w:keepLines w:val="0"/>
        <w:pageBreakBefore w:val="0"/>
        <w:widowControl w:val="0"/>
        <w:kinsoku/>
        <w:wordWrap/>
        <w:overflowPunct/>
        <w:topLinePunct w:val="0"/>
        <w:autoSpaceDE/>
        <w:autoSpaceDN/>
        <w:bidi w:val="0"/>
        <w:spacing w:line="560" w:lineRule="exact"/>
        <w:jc w:val="center"/>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（2020年度部门决算表公开内容详见附件）</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kern w:val="0"/>
          <w:sz w:val="32"/>
          <w:szCs w:val="32"/>
          <w:highlight w:val="none"/>
        </w:rPr>
      </w:pPr>
      <w:r>
        <w:rPr>
          <w:rFonts w:hint="eastAsia" w:ascii="方正小标宋简体" w:hAnsi="方正小标宋简体" w:eastAsia="方正小标宋简体" w:cs="方正小标宋简体"/>
          <w:b w:val="0"/>
          <w:bCs/>
          <w:kern w:val="0"/>
          <w:sz w:val="32"/>
          <w:szCs w:val="32"/>
          <w:highlight w:val="none"/>
        </w:rPr>
        <w:t xml:space="preserve">    第三部分  2020 年部门决算情况说明</w:t>
      </w:r>
    </w:p>
    <w:p>
      <w:pPr>
        <w:spacing w:line="560" w:lineRule="exact"/>
        <w:ind w:firstLine="640" w:firstLineChars="200"/>
        <w:rPr>
          <w:rFonts w:ascii="黑体" w:hAnsi="黑体" w:eastAsia="黑体" w:cs="黑体"/>
          <w:color w:val="FF0000"/>
          <w:kern w:val="0"/>
          <w:sz w:val="32"/>
          <w:szCs w:val="32"/>
          <w:highlight w:val="none"/>
        </w:rPr>
      </w:pPr>
      <w:r>
        <w:rPr>
          <w:rFonts w:hint="eastAsia" w:ascii="黑体" w:hAnsi="黑体" w:eastAsia="黑体" w:cs="黑体"/>
          <w:kern w:val="0"/>
          <w:sz w:val="32"/>
          <w:szCs w:val="32"/>
          <w:highlight w:val="none"/>
        </w:rPr>
        <w:t>一、收入支出决算总体情况说明</w:t>
      </w:r>
    </w:p>
    <w:p>
      <w:pPr>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2020年收入</w:t>
      </w:r>
      <w:r>
        <w:rPr>
          <w:rFonts w:ascii="仿宋_GB2312" w:hAnsi="仿宋_GB2312" w:eastAsia="仿宋_GB2312" w:cs="仿宋_GB2312"/>
          <w:sz w:val="32"/>
          <w:szCs w:val="32"/>
          <w:highlight w:val="none"/>
        </w:rPr>
        <w:t>总计</w:t>
      </w:r>
      <w:r>
        <w:rPr>
          <w:rFonts w:hint="eastAsia" w:ascii="仿宋_GB2312" w:hAnsi="仿宋_GB2312" w:eastAsia="仿宋_GB2312" w:cs="仿宋_GB2312"/>
          <w:sz w:val="32"/>
          <w:szCs w:val="32"/>
          <w:highlight w:val="none"/>
          <w:lang w:eastAsia="zh-CN"/>
        </w:rPr>
        <w:t>384.94</w:t>
      </w:r>
      <w:r>
        <w:rPr>
          <w:rFonts w:ascii="仿宋_GB2312" w:hAnsi="仿宋_GB2312" w:eastAsia="仿宋_GB2312" w:cs="仿宋_GB2312"/>
          <w:sz w:val="32"/>
          <w:szCs w:val="32"/>
          <w:highlight w:val="none"/>
        </w:rPr>
        <w:t>万元，包括</w:t>
      </w:r>
      <w:r>
        <w:rPr>
          <w:rFonts w:hint="eastAsia" w:ascii="仿宋_GB2312" w:hAnsi="仿宋_GB2312" w:eastAsia="仿宋_GB2312" w:cs="仿宋_GB2312"/>
          <w:sz w:val="32"/>
          <w:szCs w:val="32"/>
          <w:highlight w:val="none"/>
        </w:rPr>
        <w:t>年初结转和结余</w:t>
      </w:r>
      <w:r>
        <w:rPr>
          <w:rFonts w:hint="eastAsia" w:ascii="仿宋_GB2312" w:hAnsi="仿宋_GB2312" w:eastAsia="仿宋_GB2312" w:cs="仿宋_GB2312"/>
          <w:sz w:val="32"/>
          <w:szCs w:val="32"/>
          <w:highlight w:val="none"/>
          <w:lang w:eastAsia="zh-CN"/>
        </w:rPr>
        <w:t>0.19</w:t>
      </w:r>
      <w:r>
        <w:rPr>
          <w:rFonts w:hint="eastAsia" w:ascii="仿宋_GB2312" w:hAnsi="仿宋_GB2312" w:eastAsia="仿宋_GB2312" w:cs="仿宋_GB2312"/>
          <w:sz w:val="32"/>
          <w:szCs w:val="32"/>
          <w:highlight w:val="none"/>
        </w:rPr>
        <w:t>万元，本年收入合计</w:t>
      </w:r>
      <w:r>
        <w:rPr>
          <w:rFonts w:hint="eastAsia" w:ascii="仿宋_GB2312" w:hAnsi="仿宋_GB2312" w:eastAsia="仿宋_GB2312" w:cs="仿宋_GB2312"/>
          <w:sz w:val="32"/>
          <w:szCs w:val="32"/>
          <w:highlight w:val="none"/>
          <w:lang w:eastAsia="zh-CN"/>
        </w:rPr>
        <w:t>384.75</w:t>
      </w:r>
      <w:r>
        <w:rPr>
          <w:rFonts w:hint="eastAsia" w:ascii="仿宋_GB2312" w:hAnsi="仿宋_GB2312" w:eastAsia="仿宋_GB2312" w:cs="仿宋_GB2312"/>
          <w:sz w:val="32"/>
          <w:szCs w:val="32"/>
          <w:highlight w:val="none"/>
        </w:rPr>
        <w:t>万元。本年收入总计较上年</w:t>
      </w:r>
      <w:r>
        <w:rPr>
          <w:rFonts w:hint="eastAsia" w:ascii="仿宋_GB2312" w:hAnsi="仿宋_GB2312" w:eastAsia="仿宋_GB2312" w:cs="仿宋_GB2312"/>
          <w:sz w:val="32"/>
          <w:szCs w:val="32"/>
          <w:highlight w:val="none"/>
          <w:lang w:val="en-US" w:eastAsia="zh-CN"/>
        </w:rPr>
        <w:t>减少44.71</w:t>
      </w:r>
      <w:r>
        <w:rPr>
          <w:rFonts w:hint="eastAsia" w:ascii="仿宋_GB2312" w:hAnsi="仿宋_GB2312" w:eastAsia="仿宋_GB2312" w:cs="仿宋_GB2312"/>
          <w:sz w:val="32"/>
          <w:szCs w:val="32"/>
          <w:highlight w:val="none"/>
        </w:rPr>
        <w:t>万元，主要原因专项业务经费</w:t>
      </w:r>
      <w:r>
        <w:rPr>
          <w:rFonts w:hint="eastAsia" w:ascii="仿宋_GB2312" w:hAnsi="仿宋_GB2312" w:eastAsia="仿宋_GB2312" w:cs="仿宋_GB2312"/>
          <w:sz w:val="32"/>
          <w:szCs w:val="32"/>
          <w:highlight w:val="none"/>
          <w:lang w:val="en-US" w:eastAsia="zh-CN"/>
        </w:rPr>
        <w:t>减少</w:t>
      </w:r>
      <w:r>
        <w:rPr>
          <w:rFonts w:hint="eastAsia" w:ascii="仿宋_GB2312" w:hAnsi="仿宋_GB2312" w:eastAsia="仿宋_GB2312" w:cs="仿宋_GB2312"/>
          <w:sz w:val="32"/>
          <w:szCs w:val="32"/>
          <w:highlight w:val="none"/>
        </w:rPr>
        <w:t>。</w:t>
      </w:r>
    </w:p>
    <w:p>
      <w:pPr>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2020年支出</w:t>
      </w:r>
      <w:r>
        <w:rPr>
          <w:rFonts w:ascii="仿宋_GB2312" w:hAnsi="仿宋_GB2312" w:eastAsia="仿宋_GB2312" w:cs="仿宋_GB2312"/>
          <w:sz w:val="32"/>
          <w:szCs w:val="32"/>
          <w:highlight w:val="none"/>
        </w:rPr>
        <w:t>总计</w:t>
      </w:r>
      <w:r>
        <w:rPr>
          <w:rFonts w:hint="eastAsia" w:ascii="仿宋_GB2312" w:hAnsi="仿宋_GB2312" w:eastAsia="仿宋_GB2312" w:cs="仿宋_GB2312"/>
          <w:sz w:val="32"/>
          <w:szCs w:val="32"/>
          <w:highlight w:val="none"/>
          <w:lang w:eastAsia="zh-CN"/>
        </w:rPr>
        <w:t>384.94</w:t>
      </w:r>
      <w:r>
        <w:rPr>
          <w:rFonts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rPr>
        <w:t>其中本年支出</w:t>
      </w:r>
      <w:r>
        <w:rPr>
          <w:rFonts w:hint="eastAsia" w:ascii="仿宋_GB2312" w:hAnsi="仿宋_GB2312" w:eastAsia="仿宋_GB2312" w:cs="仿宋_GB2312"/>
          <w:sz w:val="32"/>
          <w:szCs w:val="32"/>
          <w:highlight w:val="none"/>
          <w:lang w:eastAsia="zh-CN"/>
        </w:rPr>
        <w:t>384.05</w:t>
      </w:r>
      <w:r>
        <w:rPr>
          <w:rFonts w:hint="eastAsia" w:ascii="仿宋_GB2312" w:hAnsi="仿宋_GB2312" w:eastAsia="仿宋_GB2312" w:cs="仿宋_GB2312"/>
          <w:sz w:val="32"/>
          <w:szCs w:val="32"/>
          <w:highlight w:val="none"/>
        </w:rPr>
        <w:t>万元，年末结转资金</w:t>
      </w:r>
      <w:r>
        <w:rPr>
          <w:rFonts w:hint="eastAsia" w:ascii="仿宋_GB2312" w:hAnsi="仿宋_GB2312" w:eastAsia="仿宋_GB2312" w:cs="仿宋_GB2312"/>
          <w:sz w:val="32"/>
          <w:szCs w:val="32"/>
          <w:highlight w:val="none"/>
          <w:lang w:eastAsia="zh-CN"/>
        </w:rPr>
        <w:t>0.89</w:t>
      </w:r>
      <w:r>
        <w:rPr>
          <w:rFonts w:hint="eastAsia" w:ascii="仿宋_GB2312" w:hAnsi="仿宋_GB2312" w:eastAsia="仿宋_GB2312" w:cs="仿宋_GB2312"/>
          <w:sz w:val="32"/>
          <w:szCs w:val="32"/>
          <w:highlight w:val="none"/>
        </w:rPr>
        <w:t>万元。本年支出总计较上年</w:t>
      </w:r>
      <w:r>
        <w:rPr>
          <w:rFonts w:hint="eastAsia" w:ascii="仿宋_GB2312" w:hAnsi="仿宋_GB2312" w:eastAsia="仿宋_GB2312" w:cs="仿宋_GB2312"/>
          <w:sz w:val="32"/>
          <w:szCs w:val="32"/>
          <w:highlight w:val="none"/>
          <w:lang w:val="en-US" w:eastAsia="zh-CN"/>
        </w:rPr>
        <w:t>减少44.71</w:t>
      </w:r>
      <w:r>
        <w:rPr>
          <w:rFonts w:hint="eastAsia" w:ascii="仿宋_GB2312" w:hAnsi="仿宋_GB2312" w:eastAsia="仿宋_GB2312" w:cs="仿宋_GB2312"/>
          <w:sz w:val="32"/>
          <w:szCs w:val="32"/>
          <w:highlight w:val="none"/>
        </w:rPr>
        <w:t>万元，主要原因专项业务经费</w:t>
      </w:r>
      <w:r>
        <w:rPr>
          <w:rFonts w:hint="eastAsia" w:ascii="仿宋_GB2312" w:hAnsi="仿宋_GB2312" w:eastAsia="仿宋_GB2312" w:cs="仿宋_GB2312"/>
          <w:sz w:val="32"/>
          <w:szCs w:val="32"/>
          <w:highlight w:val="none"/>
          <w:lang w:val="en-US" w:eastAsia="zh-CN"/>
        </w:rPr>
        <w:t>减少</w:t>
      </w:r>
      <w:r>
        <w:rPr>
          <w:rFonts w:hint="eastAsia" w:ascii="仿宋_GB2312" w:hAnsi="仿宋_GB2312" w:eastAsia="仿宋_GB2312" w:cs="仿宋_GB2312"/>
          <w:sz w:val="32"/>
          <w:szCs w:val="32"/>
          <w:highlight w:val="none"/>
        </w:rPr>
        <w:t>。</w:t>
      </w:r>
    </w:p>
    <w:p>
      <w:pPr>
        <w:ind w:firstLine="420" w:firstLineChars="200"/>
        <w:jc w:val="left"/>
        <w:rPr>
          <w:rFonts w:ascii="仿宋_GB2312" w:hAnsi="仿宋_GB2312" w:eastAsia="仿宋_GB2312" w:cs="仿宋_GB2312"/>
          <w:sz w:val="32"/>
          <w:szCs w:val="32"/>
          <w:highlight w:val="none"/>
        </w:rPr>
      </w:pPr>
      <w:r>
        <w:rPr>
          <w:highlight w:val="none"/>
        </w:rPr>
        <w:drawing>
          <wp:inline distT="0" distB="0" distL="114300" distR="114300">
            <wp:extent cx="5272405" cy="2766695"/>
            <wp:effectExtent l="4445" t="4445" r="19050" b="1016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560" w:lineRule="exact"/>
        <w:ind w:firstLine="640" w:firstLineChars="200"/>
        <w:jc w:val="left"/>
        <w:rPr>
          <w:rFonts w:ascii="黑体" w:hAnsi="黑体" w:eastAsia="黑体"/>
          <w:bCs/>
          <w:color w:val="000000"/>
          <w:kern w:val="0"/>
          <w:sz w:val="32"/>
          <w:szCs w:val="32"/>
          <w:highlight w:val="none"/>
        </w:rPr>
      </w:pPr>
      <w:r>
        <w:rPr>
          <w:rFonts w:hint="eastAsia" w:ascii="黑体" w:hAnsi="黑体" w:eastAsia="黑体"/>
          <w:bCs/>
          <w:color w:val="000000"/>
          <w:kern w:val="0"/>
          <w:sz w:val="32"/>
          <w:szCs w:val="32"/>
          <w:highlight w:val="none"/>
        </w:rPr>
        <w:t>二、收入决算情况说明</w:t>
      </w:r>
    </w:p>
    <w:p>
      <w:pPr>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rPr>
        <w:t>2020年拨款收</w:t>
      </w:r>
      <w:r>
        <w:rPr>
          <w:rFonts w:ascii="仿宋_GB2312" w:hAnsi="仿宋_GB2312" w:eastAsia="仿宋_GB2312" w:cs="仿宋_GB2312"/>
          <w:sz w:val="32"/>
          <w:szCs w:val="32"/>
          <w:highlight w:val="none"/>
        </w:rPr>
        <w:t>入总计</w:t>
      </w:r>
      <w:r>
        <w:rPr>
          <w:rFonts w:hint="eastAsia" w:ascii="仿宋_GB2312" w:hAnsi="仿宋_GB2312" w:eastAsia="仿宋_GB2312" w:cs="仿宋_GB2312"/>
          <w:sz w:val="32"/>
          <w:szCs w:val="32"/>
          <w:highlight w:val="none"/>
          <w:lang w:eastAsia="zh-CN"/>
        </w:rPr>
        <w:t>384.75</w:t>
      </w:r>
      <w:r>
        <w:rPr>
          <w:rFonts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rPr>
        <w:t>其中：财政拨款收入</w:t>
      </w:r>
      <w:r>
        <w:rPr>
          <w:rFonts w:hint="eastAsia" w:ascii="仿宋_GB2312" w:hAnsi="仿宋_GB2312" w:eastAsia="仿宋_GB2312" w:cs="仿宋_GB2312"/>
          <w:color w:val="000000"/>
          <w:sz w:val="32"/>
          <w:szCs w:val="32"/>
          <w:highlight w:val="none"/>
          <w:lang w:eastAsia="zh-CN"/>
        </w:rPr>
        <w:t>384.75</w:t>
      </w:r>
      <w:r>
        <w:rPr>
          <w:rFonts w:hint="eastAsia" w:ascii="仿宋_GB2312" w:hAnsi="仿宋_GB2312" w:eastAsia="仿宋_GB2312" w:cs="仿宋_GB2312"/>
          <w:color w:val="000000"/>
          <w:sz w:val="32"/>
          <w:szCs w:val="32"/>
          <w:highlight w:val="none"/>
        </w:rPr>
        <w:t>万元，占本年总收入的</w:t>
      </w:r>
      <w:r>
        <w:rPr>
          <w:rFonts w:hint="eastAsia" w:ascii="仿宋_GB2312" w:hAnsi="仿宋_GB2312" w:eastAsia="仿宋_GB2312" w:cs="仿宋_GB2312"/>
          <w:color w:val="000000"/>
          <w:sz w:val="32"/>
          <w:szCs w:val="32"/>
          <w:highlight w:val="none"/>
          <w:lang w:eastAsia="zh-CN"/>
        </w:rPr>
        <w:t>1</w:t>
      </w:r>
      <w:r>
        <w:rPr>
          <w:rFonts w:hint="eastAsia" w:ascii="仿宋_GB2312" w:hAnsi="仿宋_GB2312" w:eastAsia="仿宋_GB2312" w:cs="仿宋_GB2312"/>
          <w:color w:val="000000"/>
          <w:sz w:val="32"/>
          <w:szCs w:val="32"/>
          <w:highlight w:val="none"/>
          <w:lang w:val="en-US" w:eastAsia="zh-CN"/>
        </w:rPr>
        <w:t>00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%；经营收入0万元，占0%；其他收入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rPr>
          <w:rFonts w:ascii="仿宋_GB2312" w:hAnsi="仿宋_GB2312" w:eastAsia="仿宋_GB2312" w:cs="仿宋_GB2312"/>
          <w:sz w:val="32"/>
          <w:szCs w:val="32"/>
          <w:highlight w:val="none"/>
        </w:rPr>
      </w:pPr>
      <w:r>
        <w:rPr>
          <w:highlight w:val="none"/>
        </w:rPr>
        <w:drawing>
          <wp:inline distT="0" distB="0" distL="114300" distR="114300">
            <wp:extent cx="5473700" cy="2437765"/>
            <wp:effectExtent l="4445" t="4445" r="8255" b="15240"/>
            <wp:docPr id="1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560" w:lineRule="exact"/>
        <w:ind w:firstLine="640" w:firstLineChars="200"/>
        <w:jc w:val="left"/>
        <w:rPr>
          <w:rFonts w:ascii="仿宋_GB2312" w:hAnsi="仿宋_GB2312" w:eastAsia="仿宋_GB2312" w:cs="仿宋_GB2312"/>
          <w:color w:val="FF0000"/>
          <w:sz w:val="32"/>
          <w:szCs w:val="32"/>
          <w:highlight w:val="none"/>
        </w:rPr>
      </w:pPr>
      <w:r>
        <w:rPr>
          <w:rFonts w:hint="eastAsia" w:ascii="黑体" w:hAnsi="黑体" w:eastAsia="黑体"/>
          <w:bCs/>
          <w:color w:val="000000"/>
          <w:kern w:val="0"/>
          <w:sz w:val="32"/>
          <w:szCs w:val="32"/>
          <w:highlight w:val="none"/>
        </w:rPr>
        <w:t xml:space="preserve">三、支出决算情况说明 </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2020年支出合计</w:t>
      </w:r>
      <w:r>
        <w:rPr>
          <w:rFonts w:hint="eastAsia" w:ascii="仿宋_GB2312" w:hAnsi="仿宋_GB2312" w:eastAsia="仿宋_GB2312" w:cs="仿宋_GB2312"/>
          <w:sz w:val="32"/>
          <w:szCs w:val="32"/>
          <w:highlight w:val="none"/>
          <w:lang w:eastAsia="zh-CN"/>
        </w:rPr>
        <w:t>384.05</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eastAsia="zh-CN"/>
        </w:rPr>
        <w:t>308.86</w:t>
      </w:r>
      <w:r>
        <w:rPr>
          <w:rFonts w:hint="eastAsia" w:ascii="仿宋_GB2312" w:hAnsi="仿宋_GB2312" w:eastAsia="仿宋_GB2312" w:cs="仿宋_GB2312"/>
          <w:sz w:val="32"/>
          <w:szCs w:val="32"/>
          <w:highlight w:val="none"/>
        </w:rPr>
        <w:t>万元，占本年总支出的</w:t>
      </w:r>
      <w:r>
        <w:rPr>
          <w:rFonts w:hint="eastAsia" w:ascii="仿宋_GB2312" w:hAnsi="仿宋_GB2312" w:eastAsia="仿宋_GB2312" w:cs="仿宋_GB2312"/>
          <w:sz w:val="32"/>
          <w:szCs w:val="32"/>
          <w:highlight w:val="none"/>
          <w:lang w:val="en-US" w:eastAsia="zh-CN"/>
        </w:rPr>
        <w:t>80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eastAsia="zh-CN"/>
        </w:rPr>
        <w:t>75.19</w:t>
      </w:r>
      <w:r>
        <w:rPr>
          <w:rFonts w:hint="eastAsia" w:ascii="仿宋_GB2312" w:hAnsi="仿宋_GB2312" w:eastAsia="仿宋_GB2312" w:cs="仿宋_GB2312"/>
          <w:sz w:val="32"/>
          <w:szCs w:val="32"/>
          <w:highlight w:val="none"/>
        </w:rPr>
        <w:t>万元，占本年总支出的</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w:t>
      </w:r>
    </w:p>
    <w:p>
      <w:pPr>
        <w:ind w:firstLine="420" w:firstLineChars="200"/>
        <w:rPr>
          <w:rFonts w:ascii="仿宋_GB2312" w:hAnsi="仿宋_GB2312" w:eastAsia="仿宋_GB2312" w:cs="仿宋_GB2312"/>
          <w:sz w:val="32"/>
          <w:szCs w:val="32"/>
          <w:highlight w:val="none"/>
        </w:rPr>
      </w:pPr>
      <w:r>
        <w:rPr>
          <w:highlight w:val="none"/>
        </w:rPr>
        <w:drawing>
          <wp:inline distT="0" distB="0" distL="114300" distR="114300">
            <wp:extent cx="4857750" cy="2743200"/>
            <wp:effectExtent l="4445" t="4445" r="14605" b="14605"/>
            <wp:docPr id="1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560" w:lineRule="exact"/>
        <w:ind w:firstLine="640" w:firstLineChars="200"/>
        <w:jc w:val="left"/>
        <w:rPr>
          <w:rFonts w:ascii="黑体" w:hAnsi="黑体" w:eastAsia="黑体"/>
          <w:b/>
          <w:color w:val="FF0000"/>
          <w:kern w:val="0"/>
          <w:sz w:val="32"/>
          <w:szCs w:val="32"/>
          <w:highlight w:val="none"/>
        </w:rPr>
      </w:pPr>
      <w:r>
        <w:rPr>
          <w:rFonts w:hint="eastAsia" w:ascii="黑体" w:hAnsi="黑体" w:eastAsia="黑体"/>
          <w:bCs/>
          <w:color w:val="000000"/>
          <w:kern w:val="0"/>
          <w:sz w:val="32"/>
          <w:szCs w:val="32"/>
          <w:highlight w:val="none"/>
        </w:rPr>
        <w:t xml:space="preserve">四、财政拨款收入支出决算总体情况说明 </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2020年财政拨款收</w:t>
      </w:r>
      <w:r>
        <w:rPr>
          <w:rFonts w:ascii="仿宋_GB2312" w:hAnsi="仿宋_GB2312" w:eastAsia="仿宋_GB2312" w:cs="仿宋_GB2312"/>
          <w:sz w:val="32"/>
          <w:szCs w:val="32"/>
          <w:highlight w:val="none"/>
        </w:rPr>
        <w:t>入总计</w:t>
      </w:r>
      <w:r>
        <w:rPr>
          <w:rFonts w:hint="eastAsia" w:ascii="仿宋_GB2312" w:hAnsi="仿宋_GB2312" w:eastAsia="仿宋_GB2312" w:cs="仿宋_GB2312"/>
          <w:sz w:val="32"/>
          <w:szCs w:val="32"/>
          <w:highlight w:val="none"/>
          <w:lang w:eastAsia="zh-CN"/>
        </w:rPr>
        <w:t>384.94</w:t>
      </w:r>
      <w:r>
        <w:rPr>
          <w:rFonts w:ascii="仿宋_GB2312" w:hAnsi="仿宋_GB2312" w:eastAsia="仿宋_GB2312" w:cs="仿宋_GB2312"/>
          <w:sz w:val="32"/>
          <w:szCs w:val="32"/>
          <w:highlight w:val="none"/>
        </w:rPr>
        <w:t>万元，包括本年</w:t>
      </w:r>
      <w:r>
        <w:rPr>
          <w:rFonts w:hint="eastAsia" w:ascii="仿宋_GB2312" w:hAnsi="仿宋_GB2312" w:eastAsia="仿宋_GB2312" w:cs="仿宋_GB2312"/>
          <w:sz w:val="32"/>
          <w:szCs w:val="32"/>
          <w:highlight w:val="none"/>
        </w:rPr>
        <w:t>一般公共预算财政拨款</w:t>
      </w:r>
      <w:r>
        <w:rPr>
          <w:rFonts w:hint="eastAsia" w:ascii="仿宋_GB2312" w:hAnsi="仿宋_GB2312" w:eastAsia="仿宋_GB2312" w:cs="仿宋_GB2312"/>
          <w:sz w:val="32"/>
          <w:szCs w:val="32"/>
          <w:highlight w:val="none"/>
          <w:lang w:eastAsia="zh-CN"/>
        </w:rPr>
        <w:t>384.75</w:t>
      </w:r>
      <w:r>
        <w:rPr>
          <w:rFonts w:hint="eastAsia" w:ascii="仿宋_GB2312" w:hAnsi="仿宋_GB2312" w:eastAsia="仿宋_GB2312" w:cs="仿宋_GB2312"/>
          <w:sz w:val="32"/>
          <w:szCs w:val="32"/>
          <w:highlight w:val="none"/>
        </w:rPr>
        <w:t>万元，年初财政拨款结转和结余</w:t>
      </w:r>
      <w:r>
        <w:rPr>
          <w:rFonts w:hint="eastAsia" w:ascii="仿宋_GB2312" w:hAnsi="仿宋_GB2312" w:eastAsia="仿宋_GB2312" w:cs="仿宋_GB2312"/>
          <w:sz w:val="32"/>
          <w:szCs w:val="32"/>
          <w:highlight w:val="none"/>
          <w:lang w:eastAsia="zh-CN"/>
        </w:rPr>
        <w:t>0.19</w:t>
      </w:r>
      <w:r>
        <w:rPr>
          <w:rFonts w:hint="eastAsia" w:ascii="仿宋_GB2312" w:hAnsi="仿宋_GB2312" w:eastAsia="仿宋_GB2312" w:cs="仿宋_GB2312"/>
          <w:sz w:val="32"/>
          <w:szCs w:val="32"/>
          <w:highlight w:val="none"/>
        </w:rPr>
        <w:t>万元。2020年财政拨款收入总计较上年</w:t>
      </w:r>
      <w:r>
        <w:rPr>
          <w:rFonts w:hint="eastAsia" w:ascii="仿宋_GB2312" w:hAnsi="仿宋_GB2312" w:eastAsia="仿宋_GB2312" w:cs="仿宋_GB2312"/>
          <w:sz w:val="32"/>
          <w:szCs w:val="32"/>
          <w:highlight w:val="none"/>
          <w:lang w:val="en-US" w:eastAsia="zh-CN"/>
        </w:rPr>
        <w:t>减少44.71</w:t>
      </w:r>
      <w:r>
        <w:rPr>
          <w:rFonts w:hint="eastAsia" w:ascii="仿宋_GB2312" w:hAnsi="仿宋_GB2312" w:eastAsia="仿宋_GB2312" w:cs="仿宋_GB2312"/>
          <w:sz w:val="32"/>
          <w:szCs w:val="32"/>
          <w:highlight w:val="none"/>
        </w:rPr>
        <w:t>万元，主要原因是专项业务经费</w:t>
      </w:r>
      <w:r>
        <w:rPr>
          <w:rFonts w:hint="eastAsia" w:ascii="仿宋_GB2312" w:hAnsi="仿宋_GB2312" w:eastAsia="仿宋_GB2312" w:cs="仿宋_GB2312"/>
          <w:sz w:val="32"/>
          <w:szCs w:val="32"/>
          <w:highlight w:val="none"/>
          <w:lang w:val="en-US" w:eastAsia="zh-CN"/>
        </w:rPr>
        <w:t>减少</w:t>
      </w:r>
      <w:r>
        <w:rPr>
          <w:rFonts w:hint="eastAsia" w:ascii="仿宋_GB2312" w:hAnsi="仿宋_GB2312" w:eastAsia="仿宋_GB2312" w:cs="仿宋_GB2312"/>
          <w:sz w:val="32"/>
          <w:szCs w:val="32"/>
          <w:highlight w:val="none"/>
        </w:rPr>
        <w:t>。</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2020年财政拨款支出</w:t>
      </w:r>
      <w:r>
        <w:rPr>
          <w:rFonts w:ascii="仿宋_GB2312" w:hAnsi="仿宋_GB2312" w:eastAsia="仿宋_GB2312" w:cs="仿宋_GB2312"/>
          <w:sz w:val="32"/>
          <w:szCs w:val="32"/>
          <w:highlight w:val="none"/>
        </w:rPr>
        <w:t>总计</w:t>
      </w:r>
      <w:r>
        <w:rPr>
          <w:rFonts w:hint="eastAsia" w:ascii="仿宋_GB2312" w:hAnsi="仿宋_GB2312" w:eastAsia="仿宋_GB2312" w:cs="仿宋_GB2312"/>
          <w:sz w:val="32"/>
          <w:szCs w:val="32"/>
          <w:highlight w:val="none"/>
          <w:lang w:eastAsia="zh-CN"/>
        </w:rPr>
        <w:t>384.94</w:t>
      </w:r>
      <w:r>
        <w:rPr>
          <w:rFonts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rPr>
        <w:t>其中：灾害防治及应急管理支出</w:t>
      </w:r>
      <w:r>
        <w:rPr>
          <w:rFonts w:hint="eastAsia" w:ascii="仿宋_GB2312" w:hAnsi="仿宋_GB2312" w:eastAsia="仿宋_GB2312" w:cs="仿宋_GB2312"/>
          <w:sz w:val="32"/>
          <w:szCs w:val="32"/>
          <w:highlight w:val="none"/>
          <w:lang w:val="en-US" w:eastAsia="zh-CN"/>
        </w:rPr>
        <w:t>384.05</w:t>
      </w:r>
      <w:r>
        <w:rPr>
          <w:rFonts w:hint="eastAsia" w:ascii="仿宋_GB2312" w:hAnsi="仿宋_GB2312" w:eastAsia="仿宋_GB2312" w:cs="仿宋_GB2312"/>
          <w:sz w:val="32"/>
          <w:szCs w:val="32"/>
          <w:highlight w:val="none"/>
        </w:rPr>
        <w:t>万元，年末结转和结余</w:t>
      </w:r>
      <w:r>
        <w:rPr>
          <w:rFonts w:hint="eastAsia" w:ascii="仿宋_GB2312" w:hAnsi="仿宋_GB2312" w:eastAsia="仿宋_GB2312" w:cs="仿宋_GB2312"/>
          <w:sz w:val="32"/>
          <w:szCs w:val="32"/>
          <w:highlight w:val="none"/>
          <w:lang w:eastAsia="zh-CN"/>
        </w:rPr>
        <w:t>0.89</w:t>
      </w:r>
      <w:r>
        <w:rPr>
          <w:rFonts w:hint="eastAsia" w:ascii="仿宋_GB2312" w:hAnsi="仿宋_GB2312" w:eastAsia="仿宋_GB2312" w:cs="仿宋_GB2312"/>
          <w:sz w:val="32"/>
          <w:szCs w:val="32"/>
          <w:highlight w:val="none"/>
        </w:rPr>
        <w:t>万元。2020年财政拨款支出总计较上年</w:t>
      </w:r>
      <w:r>
        <w:rPr>
          <w:rFonts w:hint="eastAsia" w:ascii="仿宋_GB2312" w:hAnsi="仿宋_GB2312" w:eastAsia="仿宋_GB2312" w:cs="仿宋_GB2312"/>
          <w:sz w:val="32"/>
          <w:szCs w:val="32"/>
          <w:highlight w:val="none"/>
          <w:lang w:val="en-US" w:eastAsia="zh-CN"/>
        </w:rPr>
        <w:t>减少44.71</w:t>
      </w:r>
      <w:r>
        <w:rPr>
          <w:rFonts w:hint="eastAsia" w:ascii="仿宋_GB2312" w:hAnsi="仿宋_GB2312" w:eastAsia="仿宋_GB2312" w:cs="仿宋_GB2312"/>
          <w:sz w:val="32"/>
          <w:szCs w:val="32"/>
          <w:highlight w:val="none"/>
        </w:rPr>
        <w:t>万元.主要原因是专项业务经费</w:t>
      </w:r>
      <w:r>
        <w:rPr>
          <w:rFonts w:hint="eastAsia" w:ascii="仿宋_GB2312" w:hAnsi="仿宋_GB2312" w:eastAsia="仿宋_GB2312" w:cs="仿宋_GB2312"/>
          <w:sz w:val="32"/>
          <w:szCs w:val="32"/>
          <w:highlight w:val="none"/>
          <w:lang w:val="en-US" w:eastAsia="zh-CN"/>
        </w:rPr>
        <w:t>减少</w:t>
      </w:r>
      <w:r>
        <w:rPr>
          <w:rFonts w:hint="eastAsia" w:ascii="仿宋_GB2312" w:hAnsi="仿宋_GB2312" w:eastAsia="仿宋_GB2312" w:cs="仿宋_GB2312"/>
          <w:sz w:val="32"/>
          <w:szCs w:val="32"/>
          <w:highlight w:val="none"/>
        </w:rPr>
        <w:t>。</w:t>
      </w:r>
    </w:p>
    <w:p>
      <w:pPr>
        <w:spacing w:line="560" w:lineRule="exact"/>
        <w:ind w:firstLine="640" w:firstLineChars="200"/>
        <w:jc w:val="left"/>
        <w:rPr>
          <w:rFonts w:ascii="仿宋_GB2312" w:hAnsi="仿宋_GB2312" w:eastAsia="仿宋_GB2312" w:cs="仿宋_GB2312"/>
          <w:sz w:val="32"/>
          <w:szCs w:val="32"/>
          <w:highlight w:val="none"/>
        </w:rPr>
      </w:pPr>
    </w:p>
    <w:p>
      <w:pPr>
        <w:ind w:firstLine="420" w:firstLineChars="200"/>
        <w:jc w:val="left"/>
        <w:rPr>
          <w:rFonts w:ascii="仿宋_GB2312" w:hAnsi="仿宋_GB2312" w:cs="仿宋_GB2312"/>
          <w:sz w:val="32"/>
          <w:szCs w:val="32"/>
          <w:highlight w:val="none"/>
        </w:rPr>
      </w:pPr>
      <w:r>
        <w:rPr>
          <w:highlight w:val="none"/>
        </w:rPr>
        <w:drawing>
          <wp:inline distT="0" distB="0" distL="114300" distR="114300">
            <wp:extent cx="4591050" cy="2790825"/>
            <wp:effectExtent l="4445" t="4445" r="14605" b="5080"/>
            <wp:docPr id="1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560" w:lineRule="exact"/>
        <w:ind w:firstLine="640" w:firstLineChars="200"/>
        <w:jc w:val="left"/>
        <w:rPr>
          <w:rFonts w:ascii="黑体" w:hAnsi="黑体" w:eastAsia="黑体"/>
          <w:bCs/>
          <w:color w:val="000000"/>
          <w:kern w:val="0"/>
          <w:sz w:val="32"/>
          <w:szCs w:val="32"/>
          <w:highlight w:val="none"/>
        </w:rPr>
      </w:pPr>
      <w:r>
        <w:rPr>
          <w:rFonts w:hint="eastAsia" w:ascii="黑体" w:hAnsi="黑体" w:eastAsia="黑体"/>
          <w:bCs/>
          <w:color w:val="000000"/>
          <w:kern w:val="0"/>
          <w:sz w:val="32"/>
          <w:szCs w:val="32"/>
          <w:highlight w:val="none"/>
        </w:rPr>
        <w:t>五、一般公共预算财政拨款支出决算情况说明</w:t>
      </w:r>
    </w:p>
    <w:p>
      <w:pPr>
        <w:spacing w:line="560" w:lineRule="exact"/>
        <w:ind w:firstLine="643" w:firstLineChars="200"/>
        <w:jc w:val="left"/>
        <w:rPr>
          <w:rFonts w:ascii="楷体_GB2312" w:hAnsi="宋体" w:eastAsia="楷体_GB2312" w:cs="楷体_GB2312"/>
          <w:b/>
          <w:color w:val="000000"/>
          <w:kern w:val="0"/>
          <w:sz w:val="32"/>
          <w:szCs w:val="32"/>
          <w:highlight w:val="none"/>
        </w:rPr>
      </w:pPr>
      <w:r>
        <w:rPr>
          <w:rFonts w:ascii="楷体_GB2312" w:hAnsi="宋体" w:eastAsia="楷体_GB2312" w:cs="楷体_GB2312"/>
          <w:b/>
          <w:color w:val="000000"/>
          <w:kern w:val="0"/>
          <w:sz w:val="32"/>
          <w:szCs w:val="32"/>
          <w:highlight w:val="none"/>
        </w:rPr>
        <w:t>（一）</w:t>
      </w:r>
      <w:r>
        <w:rPr>
          <w:rFonts w:hint="eastAsia" w:ascii="楷体_GB2312" w:hAnsi="宋体" w:eastAsia="楷体_GB2312" w:cs="楷体_GB2312"/>
          <w:b/>
          <w:color w:val="000000"/>
          <w:kern w:val="0"/>
          <w:sz w:val="32"/>
          <w:szCs w:val="32"/>
          <w:highlight w:val="none"/>
        </w:rPr>
        <w:t>一般公共预算</w:t>
      </w:r>
      <w:r>
        <w:rPr>
          <w:rFonts w:ascii="楷体_GB2312" w:hAnsi="宋体" w:eastAsia="楷体_GB2312" w:cs="楷体_GB2312"/>
          <w:b/>
          <w:color w:val="000000"/>
          <w:kern w:val="0"/>
          <w:sz w:val="32"/>
          <w:szCs w:val="32"/>
          <w:highlight w:val="none"/>
        </w:rPr>
        <w:t>财政拨款支出决算总体情况</w:t>
      </w:r>
      <w:r>
        <w:rPr>
          <w:rFonts w:hint="eastAsia" w:ascii="楷体_GB2312" w:hAnsi="宋体" w:eastAsia="楷体_GB2312" w:cs="楷体_GB2312"/>
          <w:b/>
          <w:color w:val="000000"/>
          <w:kern w:val="0"/>
          <w:sz w:val="32"/>
          <w:szCs w:val="32"/>
          <w:highlight w:val="none"/>
        </w:rPr>
        <w:t>说明</w:t>
      </w:r>
      <w:r>
        <w:rPr>
          <w:rFonts w:ascii="楷体_GB2312" w:hAnsi="宋体" w:eastAsia="楷体_GB2312" w:cs="楷体_GB2312"/>
          <w:b/>
          <w:color w:val="000000"/>
          <w:kern w:val="0"/>
          <w:sz w:val="32"/>
          <w:szCs w:val="32"/>
          <w:highlight w:val="none"/>
        </w:rPr>
        <w:t>。</w:t>
      </w:r>
    </w:p>
    <w:p>
      <w:pPr>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 年一般公共预算财政拨款支出</w:t>
      </w:r>
      <w:r>
        <w:rPr>
          <w:rFonts w:hint="eastAsia" w:ascii="仿宋_GB2312" w:hAnsi="仿宋_GB2312" w:eastAsia="仿宋_GB2312" w:cs="仿宋_GB2312"/>
          <w:sz w:val="32"/>
          <w:szCs w:val="32"/>
          <w:highlight w:val="none"/>
          <w:lang w:eastAsia="zh-CN"/>
        </w:rPr>
        <w:t>384.05</w:t>
      </w:r>
      <w:r>
        <w:rPr>
          <w:rFonts w:hint="eastAsia" w:ascii="仿宋_GB2312" w:hAnsi="仿宋_GB2312" w:eastAsia="仿宋_GB2312" w:cs="仿宋_GB2312"/>
          <w:sz w:val="32"/>
          <w:szCs w:val="32"/>
          <w:highlight w:val="none"/>
        </w:rPr>
        <w:t>万元，占本年支出合计的</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%。与上年相比，财政拨款支出</w:t>
      </w:r>
      <w:r>
        <w:rPr>
          <w:rFonts w:hint="eastAsia" w:ascii="仿宋_GB2312" w:hAnsi="仿宋_GB2312" w:eastAsia="仿宋_GB2312" w:cs="仿宋_GB2312"/>
          <w:sz w:val="32"/>
          <w:szCs w:val="32"/>
          <w:highlight w:val="none"/>
          <w:lang w:val="en-US" w:eastAsia="zh-CN"/>
        </w:rPr>
        <w:t>减少45.52</w:t>
      </w:r>
      <w:r>
        <w:rPr>
          <w:rFonts w:hint="eastAsia" w:ascii="仿宋_GB2312" w:hAnsi="仿宋_GB2312" w:eastAsia="仿宋_GB2312" w:cs="仿宋_GB2312"/>
          <w:sz w:val="32"/>
          <w:szCs w:val="32"/>
          <w:highlight w:val="none"/>
        </w:rPr>
        <w:t>万元，主要原因项目支出</w:t>
      </w:r>
      <w:r>
        <w:rPr>
          <w:rFonts w:hint="eastAsia" w:ascii="仿宋_GB2312" w:hAnsi="仿宋_GB2312" w:eastAsia="仿宋_GB2312" w:cs="仿宋_GB2312"/>
          <w:sz w:val="32"/>
          <w:szCs w:val="32"/>
          <w:highlight w:val="none"/>
          <w:lang w:val="en-US" w:eastAsia="zh-CN"/>
        </w:rPr>
        <w:t>减少</w:t>
      </w:r>
      <w:r>
        <w:rPr>
          <w:rFonts w:hint="eastAsia" w:ascii="仿宋_GB2312" w:hAnsi="仿宋_GB2312" w:eastAsia="仿宋_GB2312" w:cs="仿宋_GB2312"/>
          <w:sz w:val="32"/>
          <w:szCs w:val="32"/>
          <w:highlight w:val="none"/>
        </w:rPr>
        <w:t>。</w:t>
      </w:r>
    </w:p>
    <w:p>
      <w:pPr>
        <w:ind w:firstLine="420" w:firstLineChars="200"/>
        <w:jc w:val="left"/>
        <w:rPr>
          <w:rFonts w:ascii="仿宋_GB2312" w:hAnsi="仿宋_GB2312" w:eastAsia="仿宋_GB2312" w:cs="仿宋_GB2312"/>
          <w:sz w:val="32"/>
          <w:szCs w:val="32"/>
          <w:highlight w:val="none"/>
        </w:rPr>
      </w:pPr>
      <w:r>
        <w:rPr>
          <w:highlight w:val="none"/>
        </w:rPr>
        <w:drawing>
          <wp:inline distT="0" distB="0" distL="114300" distR="114300">
            <wp:extent cx="4572000" cy="2914650"/>
            <wp:effectExtent l="4445" t="4445" r="14605" b="14605"/>
            <wp:docPr id="1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560" w:lineRule="exact"/>
        <w:ind w:firstLine="643" w:firstLineChars="200"/>
        <w:rPr>
          <w:rFonts w:ascii="楷体_GB2312" w:hAnsi="宋体" w:eastAsia="楷体_GB2312" w:cs="楷体_GB2312"/>
          <w:b/>
          <w:color w:val="000000"/>
          <w:kern w:val="0"/>
          <w:sz w:val="32"/>
          <w:szCs w:val="32"/>
          <w:highlight w:val="none"/>
        </w:rPr>
      </w:pPr>
      <w:r>
        <w:rPr>
          <w:rFonts w:hint="eastAsia" w:ascii="楷体_GB2312" w:hAnsi="宋体" w:eastAsia="楷体_GB2312" w:cs="楷体_GB2312"/>
          <w:b/>
          <w:color w:val="000000"/>
          <w:kern w:val="0"/>
          <w:sz w:val="32"/>
          <w:szCs w:val="32"/>
          <w:highlight w:val="none"/>
        </w:rPr>
        <w:t>（二）一般公共预算</w:t>
      </w:r>
      <w:r>
        <w:rPr>
          <w:rFonts w:ascii="楷体_GB2312" w:hAnsi="宋体" w:eastAsia="楷体_GB2312" w:cs="楷体_GB2312"/>
          <w:b/>
          <w:color w:val="000000"/>
          <w:kern w:val="0"/>
          <w:sz w:val="32"/>
          <w:szCs w:val="32"/>
          <w:highlight w:val="none"/>
        </w:rPr>
        <w:t>财政拨款支出决算具体情况</w:t>
      </w:r>
      <w:r>
        <w:rPr>
          <w:rFonts w:hint="eastAsia" w:ascii="楷体_GB2312" w:hAnsi="宋体" w:eastAsia="楷体_GB2312" w:cs="楷体_GB2312"/>
          <w:b/>
          <w:color w:val="000000"/>
          <w:kern w:val="0"/>
          <w:sz w:val="32"/>
          <w:szCs w:val="32"/>
          <w:highlight w:val="none"/>
        </w:rPr>
        <w:t>说明</w:t>
      </w:r>
      <w:r>
        <w:rPr>
          <w:rFonts w:ascii="楷体_GB2312" w:hAnsi="宋体" w:eastAsia="楷体_GB2312" w:cs="楷体_GB2312"/>
          <w:b/>
          <w:color w:val="000000"/>
          <w:kern w:val="0"/>
          <w:sz w:val="32"/>
          <w:szCs w:val="32"/>
          <w:highlight w:val="none"/>
        </w:rPr>
        <w:t>。</w:t>
      </w:r>
    </w:p>
    <w:p>
      <w:pPr>
        <w:spacing w:line="560" w:lineRule="exact"/>
        <w:ind w:firstLine="960" w:firstLineChars="3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2020 年财政拨款支出决算为</w:t>
      </w:r>
      <w:r>
        <w:rPr>
          <w:rFonts w:hint="eastAsia" w:ascii="仿宋_GB2312" w:hAnsi="仿宋_GB2312" w:eastAsia="仿宋_GB2312" w:cs="仿宋_GB2312"/>
          <w:sz w:val="32"/>
          <w:szCs w:val="32"/>
          <w:highlight w:val="none"/>
          <w:lang w:eastAsia="zh-CN"/>
        </w:rPr>
        <w:t>384.05</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其中：应急救援374.85万元，应急管理3.21万元，其他应急管理支出5万元。</w:t>
      </w:r>
    </w:p>
    <w:p>
      <w:pPr>
        <w:ind w:firstLine="420" w:firstLineChars="200"/>
        <w:rPr>
          <w:rFonts w:ascii="仿宋_GB2312" w:hAnsi="仿宋_GB2312" w:eastAsia="仿宋_GB2312" w:cs="仿宋_GB2312"/>
          <w:sz w:val="32"/>
          <w:szCs w:val="32"/>
          <w:highlight w:val="none"/>
        </w:rPr>
      </w:pPr>
      <w:r>
        <w:rPr>
          <w:highlight w:val="none"/>
        </w:rPr>
        <w:drawing>
          <wp:inline distT="0" distB="0" distL="114300" distR="114300">
            <wp:extent cx="4974590" cy="3053080"/>
            <wp:effectExtent l="4445" t="4445" r="12065" b="952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560" w:lineRule="exact"/>
        <w:ind w:firstLine="640" w:firstLineChars="200"/>
        <w:rPr>
          <w:rFonts w:ascii="黑体" w:hAnsi="黑体" w:eastAsia="黑体" w:cs="黑体"/>
          <w:bCs/>
          <w:sz w:val="32"/>
          <w:szCs w:val="32"/>
          <w:highlight w:val="none"/>
        </w:rPr>
      </w:pPr>
      <w:r>
        <w:rPr>
          <w:rFonts w:hint="eastAsia" w:ascii="黑体" w:hAnsi="黑体" w:eastAsia="黑体" w:cs="黑体"/>
          <w:bCs/>
          <w:color w:val="000000"/>
          <w:kern w:val="0"/>
          <w:sz w:val="32"/>
          <w:szCs w:val="32"/>
          <w:highlight w:val="none"/>
        </w:rPr>
        <w:t xml:space="preserve">六、一般公共预算财政拨款基本支出决算情况说明 </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2020年一般公共预算财政拨款基本支出</w:t>
      </w:r>
      <w:r>
        <w:rPr>
          <w:rFonts w:hint="eastAsia" w:ascii="仿宋_GB2312" w:hAnsi="仿宋_GB2312" w:eastAsia="仿宋_GB2312" w:cs="仿宋_GB2312"/>
          <w:sz w:val="32"/>
          <w:szCs w:val="32"/>
          <w:highlight w:val="none"/>
          <w:lang w:eastAsia="zh-CN"/>
        </w:rPr>
        <w:t>308.86</w:t>
      </w:r>
      <w:r>
        <w:rPr>
          <w:rFonts w:hint="eastAsia" w:ascii="仿宋_GB2312" w:hAnsi="仿宋_GB2312" w:eastAsia="仿宋_GB2312" w:cs="仿宋_GB2312"/>
          <w:sz w:val="32"/>
          <w:szCs w:val="32"/>
          <w:highlight w:val="none"/>
        </w:rPr>
        <w:t>万元，包括：人员经费支出</w:t>
      </w:r>
      <w:r>
        <w:rPr>
          <w:rFonts w:hint="eastAsia" w:ascii="仿宋_GB2312" w:hAnsi="仿宋_GB2312" w:eastAsia="仿宋_GB2312" w:cs="仿宋_GB2312"/>
          <w:sz w:val="32"/>
          <w:szCs w:val="32"/>
          <w:highlight w:val="none"/>
          <w:lang w:eastAsia="zh-CN"/>
        </w:rPr>
        <w:t>308.86</w:t>
      </w:r>
      <w:r>
        <w:rPr>
          <w:rFonts w:hint="eastAsia" w:ascii="仿宋_GB2312" w:hAnsi="仿宋_GB2312" w:eastAsia="仿宋_GB2312" w:cs="仿宋_GB2312"/>
          <w:sz w:val="32"/>
          <w:szCs w:val="32"/>
          <w:highlight w:val="none"/>
        </w:rPr>
        <w:t>万元，公用经费支出万元。</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人员经费</w:t>
      </w:r>
      <w:r>
        <w:rPr>
          <w:rFonts w:hint="eastAsia" w:ascii="仿宋_GB2312" w:hAnsi="仿宋_GB2312" w:eastAsia="仿宋_GB2312" w:cs="仿宋_GB2312"/>
          <w:sz w:val="32"/>
          <w:szCs w:val="32"/>
          <w:highlight w:val="none"/>
          <w:lang w:eastAsia="zh-CN"/>
        </w:rPr>
        <w:t>308.86</w:t>
      </w:r>
      <w:r>
        <w:rPr>
          <w:rFonts w:hint="eastAsia" w:ascii="仿宋_GB2312" w:hAnsi="仿宋_GB2312" w:eastAsia="仿宋_GB2312" w:cs="仿宋_GB2312"/>
          <w:sz w:val="32"/>
          <w:szCs w:val="32"/>
          <w:highlight w:val="none"/>
        </w:rPr>
        <w:t>万元，主要包括基本工资、津贴补贴、奖金、机关事业单位基本养老保险缴费等。</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公用经费支出万元，主要包括办公费、水费、电费、邮电费、差旅费等。</w:t>
      </w:r>
    </w:p>
    <w:p>
      <w:pPr>
        <w:spacing w:line="560" w:lineRule="exact"/>
        <w:ind w:firstLine="640" w:firstLineChars="200"/>
        <w:rPr>
          <w:rFonts w:ascii="黑体" w:hAnsi="黑体" w:eastAsia="黑体"/>
          <w:bCs/>
          <w:color w:val="000000"/>
          <w:kern w:val="0"/>
          <w:sz w:val="32"/>
          <w:szCs w:val="32"/>
          <w:highlight w:val="none"/>
        </w:rPr>
      </w:pPr>
      <w:r>
        <w:rPr>
          <w:rFonts w:hint="eastAsia" w:ascii="黑体" w:hAnsi="黑体" w:eastAsia="黑体"/>
          <w:bCs/>
          <w:color w:val="000000"/>
          <w:kern w:val="0"/>
          <w:sz w:val="32"/>
          <w:szCs w:val="32"/>
          <w:highlight w:val="none"/>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spacing w:line="560" w:lineRule="exact"/>
        <w:ind w:firstLine="643" w:firstLineChars="200"/>
        <w:jc w:val="left"/>
        <w:textAlignment w:val="auto"/>
        <w:rPr>
          <w:highlight w:val="none"/>
        </w:rPr>
      </w:pPr>
      <w:r>
        <w:rPr>
          <w:rFonts w:ascii="楷体_GB2312" w:hAnsi="宋体" w:eastAsia="楷体_GB2312" w:cs="楷体_GB2312"/>
          <w:b/>
          <w:color w:val="000000"/>
          <w:kern w:val="0"/>
          <w:sz w:val="32"/>
          <w:szCs w:val="32"/>
          <w:highlight w:val="none"/>
          <w:lang w:bidi="ar"/>
        </w:rPr>
        <w:t>（一）“三公”经费财政拨款支出决算总体情况</w:t>
      </w:r>
      <w:r>
        <w:rPr>
          <w:rFonts w:hint="eastAsia" w:ascii="楷体_GB2312" w:hAnsi="宋体" w:eastAsia="楷体_GB2312" w:cs="楷体_GB2312"/>
          <w:b/>
          <w:color w:val="000000"/>
          <w:kern w:val="0"/>
          <w:sz w:val="32"/>
          <w:szCs w:val="32"/>
          <w:highlight w:val="none"/>
          <w:lang w:bidi="ar"/>
        </w:rPr>
        <w:t>说明</w:t>
      </w:r>
      <w:r>
        <w:rPr>
          <w:rFonts w:ascii="楷体_GB2312" w:hAnsi="宋体" w:eastAsia="楷体_GB2312" w:cs="楷体_GB2312"/>
          <w:b/>
          <w:color w:val="000000"/>
          <w:kern w:val="0"/>
          <w:sz w:val="32"/>
          <w:szCs w:val="32"/>
          <w:highlight w:val="none"/>
          <w:lang w:bidi="ar"/>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2020年“三公”经费财政拨款支出预算为</w:t>
      </w:r>
      <w:r>
        <w:rPr>
          <w:rFonts w:hint="eastAsia" w:ascii="仿宋_GB2312" w:hAnsi="仿宋_GB2312" w:eastAsia="仿宋_GB2312" w:cs="仿宋_GB2312"/>
          <w:sz w:val="32"/>
          <w:szCs w:val="32"/>
          <w:highlight w:val="none"/>
          <w:lang w:val="en-US" w:eastAsia="zh-CN"/>
        </w:rPr>
        <w:t>0.34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0.34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%。决算数较预算数减少</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万元，主要原因是</w:t>
      </w:r>
      <w:r>
        <w:rPr>
          <w:rFonts w:hint="eastAsia" w:ascii="仿宋_GB2312" w:hAnsi="仿宋_GB2312" w:eastAsia="仿宋_GB2312" w:cs="仿宋_GB2312"/>
          <w:sz w:val="32"/>
          <w:szCs w:val="32"/>
          <w:highlight w:val="none"/>
          <w:lang w:val="en-US" w:eastAsia="zh-CN"/>
        </w:rPr>
        <w:t>与年初预算持平</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highlight w:val="none"/>
          <w:lang w:bidi="ar"/>
        </w:rPr>
      </w:pPr>
      <w:r>
        <w:rPr>
          <w:rFonts w:hint="eastAsia" w:ascii="楷体_GB2312" w:hAnsi="宋体" w:eastAsia="楷体_GB2312" w:cs="楷体_GB2312"/>
          <w:b/>
          <w:color w:val="000000"/>
          <w:kern w:val="0"/>
          <w:sz w:val="32"/>
          <w:szCs w:val="32"/>
          <w:highlight w:val="none"/>
          <w:lang w:bidi="ar"/>
        </w:rPr>
        <w:t>（二）</w:t>
      </w:r>
      <w:r>
        <w:rPr>
          <w:rFonts w:ascii="楷体_GB2312" w:hAnsi="宋体" w:eastAsia="楷体_GB2312" w:cs="楷体_GB2312"/>
          <w:b/>
          <w:color w:val="000000"/>
          <w:kern w:val="0"/>
          <w:sz w:val="32"/>
          <w:szCs w:val="32"/>
          <w:highlight w:val="none"/>
          <w:lang w:bidi="ar"/>
        </w:rPr>
        <w:t>“三公”经费财政拨款支出决算具体情况</w:t>
      </w:r>
      <w:r>
        <w:rPr>
          <w:rFonts w:hint="eastAsia" w:ascii="楷体_GB2312" w:hAnsi="宋体" w:eastAsia="楷体_GB2312" w:cs="楷体_GB2312"/>
          <w:b/>
          <w:color w:val="000000"/>
          <w:kern w:val="0"/>
          <w:sz w:val="32"/>
          <w:szCs w:val="32"/>
          <w:highlight w:val="none"/>
          <w:lang w:bidi="ar"/>
        </w:rPr>
        <w:t>说明</w:t>
      </w:r>
      <w:r>
        <w:rPr>
          <w:rFonts w:ascii="楷体_GB2312" w:hAnsi="宋体" w:eastAsia="楷体_GB2312" w:cs="楷体_GB2312"/>
          <w:b/>
          <w:color w:val="000000"/>
          <w:kern w:val="0"/>
          <w:sz w:val="32"/>
          <w:szCs w:val="32"/>
          <w:highlight w:val="none"/>
          <w:lang w:bidi="ar"/>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%；公务用车购置费支出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%；公务用车运行维护费支出决算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%。具体情况如下：</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hAnsi="仿宋" w:eastAsia="仿宋_GB2312"/>
          <w:b/>
          <w:bCs/>
          <w:sz w:val="32"/>
          <w:szCs w:val="32"/>
          <w:highlight w:val="none"/>
        </w:rPr>
      </w:pPr>
      <w:r>
        <w:rPr>
          <w:rFonts w:hint="eastAsia" w:ascii="仿宋_GB2312" w:hAnsi="仿宋" w:eastAsia="仿宋_GB2312"/>
          <w:b/>
          <w:bCs/>
          <w:sz w:val="32"/>
          <w:szCs w:val="32"/>
          <w:highlight w:val="none"/>
        </w:rPr>
        <w:t>1.因公出国（境）支出情况说明。</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2020年因公出国（境）团组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%，决算数较预算数减少</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万元，主要原因是</w:t>
      </w:r>
      <w:r>
        <w:rPr>
          <w:rFonts w:hint="eastAsia" w:ascii="仿宋_GB2312" w:hAnsi="仿宋_GB2312" w:eastAsia="仿宋_GB2312" w:cs="仿宋_GB2312"/>
          <w:sz w:val="32"/>
          <w:szCs w:val="32"/>
          <w:highlight w:val="none"/>
          <w:lang w:val="en-US" w:eastAsia="zh-CN"/>
        </w:rPr>
        <w:t>年初无预算</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hAnsi="仿宋" w:eastAsia="仿宋_GB2312"/>
          <w:b/>
          <w:bCs/>
          <w:sz w:val="32"/>
          <w:szCs w:val="32"/>
          <w:highlight w:val="none"/>
        </w:rPr>
      </w:pPr>
      <w:r>
        <w:rPr>
          <w:rFonts w:hint="eastAsia" w:ascii="仿宋_GB2312" w:hAnsi="仿宋" w:eastAsia="仿宋_GB2312"/>
          <w:b/>
          <w:bCs/>
          <w:sz w:val="32"/>
          <w:szCs w:val="32"/>
          <w:highlight w:val="none"/>
        </w:rPr>
        <w:t>2.公务用车购置费用支出情况说明。</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%，决算数较预算数减少</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万元，主要原因</w:t>
      </w:r>
      <w:r>
        <w:rPr>
          <w:rFonts w:hint="eastAsia" w:ascii="仿宋_GB2312" w:hAnsi="仿宋_GB2312" w:eastAsia="仿宋_GB2312" w:cs="仿宋_GB2312"/>
          <w:sz w:val="32"/>
          <w:szCs w:val="32"/>
          <w:highlight w:val="none"/>
          <w:lang w:eastAsia="zh-CN"/>
        </w:rPr>
        <w:t>是</w:t>
      </w:r>
      <w:r>
        <w:rPr>
          <w:rFonts w:hint="eastAsia" w:ascii="仿宋_GB2312" w:hAnsi="仿宋_GB2312" w:eastAsia="仿宋_GB2312" w:cs="仿宋_GB2312"/>
          <w:sz w:val="32"/>
          <w:szCs w:val="32"/>
          <w:highlight w:val="none"/>
          <w:lang w:val="en-US" w:eastAsia="zh-CN"/>
        </w:rPr>
        <w:t>年初无预算</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hAnsi="仿宋" w:eastAsia="仿宋_GB2312"/>
          <w:b/>
          <w:bCs/>
          <w:sz w:val="32"/>
          <w:szCs w:val="32"/>
          <w:highlight w:val="none"/>
        </w:rPr>
      </w:pPr>
      <w:r>
        <w:rPr>
          <w:rFonts w:hint="eastAsia" w:ascii="仿宋_GB2312" w:hAnsi="仿宋" w:eastAsia="仿宋_GB2312"/>
          <w:b/>
          <w:bCs/>
          <w:sz w:val="32"/>
          <w:szCs w:val="32"/>
          <w:highlight w:val="none"/>
        </w:rPr>
        <w:t>3.公务用车运行维护费用支出情况说明。</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2020年公务用车运行维护费预算为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bookmarkStart w:id="0" w:name="_GoBack"/>
      <w:bookmarkEnd w:id="0"/>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%，决算数较预算数减少</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万元，主要原因是</w:t>
      </w:r>
      <w:r>
        <w:rPr>
          <w:rFonts w:hint="eastAsia" w:ascii="仿宋_GB2312" w:hAnsi="仿宋_GB2312" w:eastAsia="仿宋_GB2312" w:cs="仿宋_GB2312"/>
          <w:sz w:val="32"/>
          <w:szCs w:val="32"/>
          <w:highlight w:val="none"/>
          <w:lang w:val="en-US" w:eastAsia="zh-CN"/>
        </w:rPr>
        <w:t>年初无预算</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hAnsi="仿宋" w:eastAsia="仿宋_GB2312"/>
          <w:sz w:val="32"/>
          <w:szCs w:val="32"/>
          <w:highlight w:val="none"/>
        </w:rPr>
      </w:pPr>
      <w:r>
        <w:rPr>
          <w:rFonts w:hint="eastAsia" w:ascii="仿宋_GB2312" w:hAnsi="仿宋" w:eastAsia="仿宋_GB2312"/>
          <w:b/>
          <w:bCs/>
          <w:sz w:val="32"/>
          <w:szCs w:val="32"/>
          <w:highlight w:val="none"/>
        </w:rPr>
        <w:t>4.公务接待费支出情况说明。</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2020年公务接待</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批次，</w:t>
      </w:r>
      <w:r>
        <w:rPr>
          <w:rFonts w:hint="eastAsia" w:ascii="仿宋_GB2312" w:hAnsi="仿宋_GB2312" w:eastAsia="仿宋_GB2312" w:cs="仿宋_GB2312"/>
          <w:sz w:val="32"/>
          <w:szCs w:val="32"/>
          <w:highlight w:val="none"/>
          <w:lang w:val="en-US" w:eastAsia="zh-CN"/>
        </w:rPr>
        <w:t>28</w:t>
      </w:r>
      <w:r>
        <w:rPr>
          <w:rFonts w:hint="eastAsia" w:ascii="仿宋_GB2312" w:hAnsi="仿宋_GB2312" w:eastAsia="仿宋_GB2312" w:cs="仿宋_GB2312"/>
          <w:sz w:val="32"/>
          <w:szCs w:val="32"/>
          <w:highlight w:val="none"/>
        </w:rPr>
        <w:t>人次，预算为</w:t>
      </w:r>
      <w:r>
        <w:rPr>
          <w:rFonts w:hint="eastAsia" w:ascii="仿宋_GB2312" w:hAnsi="仿宋_GB2312" w:eastAsia="仿宋_GB2312" w:cs="仿宋_GB2312"/>
          <w:sz w:val="32"/>
          <w:szCs w:val="32"/>
          <w:highlight w:val="none"/>
          <w:lang w:val="en-US" w:eastAsia="zh-CN"/>
        </w:rPr>
        <w:t>0.34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0.34</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%，决算数较预算数减少</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万元，主要原因是</w:t>
      </w:r>
      <w:r>
        <w:rPr>
          <w:rFonts w:hint="eastAsia" w:ascii="仿宋_GB2312" w:hAnsi="仿宋_GB2312" w:eastAsia="仿宋_GB2312" w:cs="仿宋_GB2312"/>
          <w:sz w:val="32"/>
          <w:szCs w:val="32"/>
          <w:highlight w:val="none"/>
          <w:lang w:val="en-US" w:eastAsia="zh-CN"/>
        </w:rPr>
        <w:t>与年初预算持平，严格按照预算执行支出</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highlight w:val="none"/>
          <w:lang w:bidi="ar"/>
        </w:rPr>
      </w:pPr>
      <w:r>
        <w:rPr>
          <w:rFonts w:hint="eastAsia" w:ascii="楷体_GB2312" w:hAnsi="宋体" w:eastAsia="楷体_GB2312" w:cs="楷体_GB2312"/>
          <w:b/>
          <w:color w:val="000000"/>
          <w:kern w:val="0"/>
          <w:sz w:val="32"/>
          <w:szCs w:val="32"/>
          <w:highlight w:val="none"/>
          <w:lang w:bidi="ar"/>
        </w:rPr>
        <w:t>（三）培训费支出情况说明。</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2020年培训费预算为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%，决算数较预算数减少</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万元，主要原因是</w:t>
      </w:r>
      <w:r>
        <w:rPr>
          <w:rFonts w:hint="eastAsia" w:ascii="仿宋_GB2312" w:hAnsi="仿宋_GB2312" w:eastAsia="仿宋_GB2312" w:cs="仿宋_GB2312"/>
          <w:sz w:val="32"/>
          <w:szCs w:val="32"/>
          <w:highlight w:val="none"/>
          <w:lang w:val="en-US" w:eastAsia="zh-CN"/>
        </w:rPr>
        <w:t>年初无预算</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highlight w:val="none"/>
          <w:lang w:bidi="ar"/>
        </w:rPr>
      </w:pPr>
      <w:r>
        <w:rPr>
          <w:rFonts w:hint="eastAsia" w:ascii="楷体_GB2312" w:hAnsi="宋体" w:eastAsia="楷体_GB2312" w:cs="楷体_GB2312"/>
          <w:b/>
          <w:color w:val="000000"/>
          <w:kern w:val="0"/>
          <w:sz w:val="32"/>
          <w:szCs w:val="32"/>
          <w:highlight w:val="none"/>
          <w:lang w:bidi="ar"/>
        </w:rPr>
        <w:t>（四）会议费支出情况说明。</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2020年会议费</w:t>
      </w:r>
      <w:r>
        <w:rPr>
          <w:rFonts w:hint="eastAsia" w:ascii="仿宋_GB2312" w:hAnsi="仿宋_GB2312" w:eastAsia="仿宋_GB2312" w:cs="仿宋_GB2312"/>
          <w:color w:val="000000"/>
          <w:kern w:val="0"/>
          <w:sz w:val="32"/>
          <w:szCs w:val="32"/>
          <w:highlight w:val="none"/>
          <w:lang w:bidi="ar"/>
        </w:rPr>
        <w:t>预算为</w:t>
      </w:r>
      <w:r>
        <w:rPr>
          <w:rFonts w:hint="eastAsia" w:ascii="仿宋_GB2312" w:hAnsi="仿宋_GB2312" w:eastAsia="仿宋_GB2312" w:cs="仿宋_GB2312"/>
          <w:color w:val="000000"/>
          <w:kern w:val="0"/>
          <w:sz w:val="32"/>
          <w:szCs w:val="32"/>
          <w:highlight w:val="none"/>
          <w:lang w:val="en-US" w:eastAsia="zh-CN" w:bidi="ar"/>
        </w:rPr>
        <w:t>0</w:t>
      </w:r>
      <w:r>
        <w:rPr>
          <w:rFonts w:hint="eastAsia" w:ascii="仿宋_GB2312" w:hAnsi="仿宋_GB2312" w:eastAsia="仿宋_GB2312" w:cs="仿宋_GB2312"/>
          <w:color w:val="000000"/>
          <w:kern w:val="0"/>
          <w:sz w:val="32"/>
          <w:szCs w:val="32"/>
          <w:highlight w:val="none"/>
          <w:lang w:bidi="ar"/>
        </w:rPr>
        <w:t>万元，支出决算为</w:t>
      </w:r>
      <w:r>
        <w:rPr>
          <w:rFonts w:hint="eastAsia" w:ascii="仿宋_GB2312" w:hAnsi="仿宋_GB2312" w:eastAsia="仿宋_GB2312" w:cs="仿宋_GB2312"/>
          <w:color w:val="000000"/>
          <w:kern w:val="0"/>
          <w:sz w:val="32"/>
          <w:szCs w:val="32"/>
          <w:highlight w:val="none"/>
          <w:lang w:val="en-US" w:eastAsia="zh-CN" w:bidi="ar"/>
        </w:rPr>
        <w:t>0</w:t>
      </w:r>
      <w:r>
        <w:rPr>
          <w:rFonts w:hint="eastAsia" w:ascii="仿宋_GB2312" w:hAnsi="仿宋_GB2312" w:eastAsia="仿宋_GB2312" w:cs="仿宋_GB2312"/>
          <w:color w:val="000000"/>
          <w:kern w:val="0"/>
          <w:sz w:val="32"/>
          <w:szCs w:val="32"/>
          <w:highlight w:val="none"/>
          <w:lang w:bidi="ar"/>
        </w:rPr>
        <w:t>万元，完成预算的</w:t>
      </w:r>
      <w:r>
        <w:rPr>
          <w:rFonts w:hint="eastAsia" w:ascii="仿宋_GB2312" w:hAnsi="仿宋_GB2312" w:eastAsia="仿宋_GB2312" w:cs="仿宋_GB2312"/>
          <w:color w:val="000000"/>
          <w:kern w:val="0"/>
          <w:sz w:val="32"/>
          <w:szCs w:val="32"/>
          <w:highlight w:val="none"/>
          <w:lang w:val="en-US" w:eastAsia="zh-CN" w:bidi="ar"/>
        </w:rPr>
        <w:t>0</w:t>
      </w:r>
      <w:r>
        <w:rPr>
          <w:rFonts w:hint="eastAsia" w:ascii="仿宋_GB2312" w:hAnsi="仿宋_GB2312" w:eastAsia="仿宋_GB2312" w:cs="仿宋_GB2312"/>
          <w:color w:val="000000"/>
          <w:kern w:val="0"/>
          <w:sz w:val="32"/>
          <w:szCs w:val="32"/>
          <w:highlight w:val="none"/>
          <w:lang w:bidi="ar"/>
        </w:rPr>
        <w:t>%，决算数较预算数减少</w:t>
      </w:r>
      <w:r>
        <w:rPr>
          <w:rFonts w:hint="eastAsia" w:ascii="仿宋_GB2312" w:hAnsi="仿宋_GB2312" w:eastAsia="仿宋_GB2312" w:cs="仿宋_GB2312"/>
          <w:color w:val="000000"/>
          <w:kern w:val="0"/>
          <w:sz w:val="32"/>
          <w:szCs w:val="32"/>
          <w:highlight w:val="none"/>
          <w:lang w:val="en-US" w:eastAsia="zh-CN" w:bidi="ar"/>
        </w:rPr>
        <w:t>0</w:t>
      </w:r>
      <w:r>
        <w:rPr>
          <w:rFonts w:hint="eastAsia" w:ascii="仿宋_GB2312" w:hAnsi="仿宋_GB2312" w:eastAsia="仿宋_GB2312" w:cs="仿宋_GB2312"/>
          <w:color w:val="000000"/>
          <w:kern w:val="0"/>
          <w:sz w:val="32"/>
          <w:szCs w:val="32"/>
          <w:highlight w:val="none"/>
          <w:lang w:bidi="ar"/>
        </w:rPr>
        <w:t>万元，主要原因是</w:t>
      </w:r>
      <w:r>
        <w:rPr>
          <w:rFonts w:hint="eastAsia" w:ascii="仿宋_GB2312" w:hAnsi="仿宋_GB2312" w:eastAsia="仿宋_GB2312" w:cs="仿宋_GB2312"/>
          <w:sz w:val="32"/>
          <w:szCs w:val="32"/>
          <w:highlight w:val="none"/>
          <w:lang w:val="en-US" w:eastAsia="zh-CN"/>
        </w:rPr>
        <w:t>年初无预算</w:t>
      </w:r>
      <w:r>
        <w:rPr>
          <w:rFonts w:hint="eastAsia" w:ascii="仿宋_GB2312" w:hAnsi="仿宋_GB2312" w:eastAsia="仿宋_GB2312" w:cs="仿宋_GB2312"/>
          <w:sz w:val="32"/>
          <w:szCs w:val="32"/>
          <w:highlight w:val="none"/>
        </w:rPr>
        <w:t>。</w:t>
      </w:r>
    </w:p>
    <w:p>
      <w:pPr>
        <w:spacing w:line="560" w:lineRule="exact"/>
        <w:ind w:firstLine="640" w:firstLineChars="200"/>
        <w:rPr>
          <w:rFonts w:ascii="黑体" w:hAnsi="黑体" w:eastAsia="黑体"/>
          <w:bCs/>
          <w:color w:val="000000"/>
          <w:kern w:val="0"/>
          <w:sz w:val="32"/>
          <w:szCs w:val="32"/>
          <w:highlight w:val="none"/>
        </w:rPr>
      </w:pPr>
      <w:r>
        <w:rPr>
          <w:rFonts w:hint="eastAsia" w:ascii="黑体" w:hAnsi="黑体" w:eastAsia="黑体"/>
          <w:bCs/>
          <w:color w:val="000000"/>
          <w:kern w:val="0"/>
          <w:sz w:val="32"/>
          <w:szCs w:val="32"/>
          <w:highlight w:val="none"/>
        </w:rPr>
        <w:t xml:space="preserve">八、政府性基金预算财政拨款收入支出情况说明 </w:t>
      </w:r>
    </w:p>
    <w:p>
      <w:pPr>
        <w:spacing w:line="56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本部门无政府性基金预算财政拨款收支，并已公开空表。</w:t>
      </w:r>
    </w:p>
    <w:p>
      <w:pPr>
        <w:spacing w:line="560" w:lineRule="exact"/>
        <w:ind w:firstLine="640" w:firstLineChars="200"/>
        <w:jc w:val="left"/>
        <w:rPr>
          <w:rFonts w:ascii="黑体" w:hAnsi="黑体" w:eastAsia="黑体"/>
          <w:color w:val="000000"/>
          <w:kern w:val="0"/>
          <w:sz w:val="32"/>
          <w:szCs w:val="32"/>
          <w:highlight w:val="none"/>
        </w:rPr>
      </w:pPr>
      <w:r>
        <w:rPr>
          <w:rFonts w:hint="eastAsia" w:ascii="黑体" w:hAnsi="黑体" w:eastAsia="黑体"/>
          <w:color w:val="000000"/>
          <w:kern w:val="0"/>
          <w:sz w:val="32"/>
          <w:szCs w:val="32"/>
          <w:highlight w:val="none"/>
        </w:rPr>
        <w:t>九、国有资本经营财政拨款支出情况说明</w:t>
      </w:r>
    </w:p>
    <w:p>
      <w:pPr>
        <w:spacing w:line="56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本部门无国有资本经营决算拨款收支，并已公开空表。</w:t>
      </w:r>
    </w:p>
    <w:p>
      <w:pPr>
        <w:spacing w:line="560" w:lineRule="exact"/>
        <w:ind w:firstLine="640" w:firstLineChars="200"/>
        <w:jc w:val="left"/>
        <w:rPr>
          <w:rFonts w:ascii="黑体" w:hAnsi="黑体" w:eastAsia="黑体"/>
          <w:color w:val="000000"/>
          <w:kern w:val="0"/>
          <w:sz w:val="32"/>
          <w:szCs w:val="32"/>
          <w:highlight w:val="none"/>
        </w:rPr>
      </w:pPr>
      <w:r>
        <w:rPr>
          <w:rFonts w:hint="eastAsia" w:ascii="黑体" w:hAnsi="黑体" w:eastAsia="黑体"/>
          <w:color w:val="000000"/>
          <w:kern w:val="0"/>
          <w:sz w:val="32"/>
          <w:szCs w:val="32"/>
          <w:highlight w:val="none"/>
        </w:rPr>
        <w:t>十、机关运行经费支出情况说明。</w:t>
      </w:r>
    </w:p>
    <w:p>
      <w:pPr>
        <w:spacing w:line="56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2020年机关运行经费支出决算为</w:t>
      </w:r>
      <w:r>
        <w:rPr>
          <w:rFonts w:hint="eastAsia" w:ascii="仿宋_GB2312" w:hAnsi="仿宋_GB2312" w:eastAsia="仿宋_GB2312" w:cs="仿宋_GB2312"/>
          <w:sz w:val="32"/>
          <w:szCs w:val="32"/>
          <w:highlight w:val="none"/>
          <w:lang w:val="en-US" w:eastAsia="zh-CN"/>
        </w:rPr>
        <w:t>15.50</w:t>
      </w:r>
      <w:r>
        <w:rPr>
          <w:rFonts w:hint="eastAsia" w:ascii="仿宋_GB2312" w:hAnsi="仿宋_GB2312" w:eastAsia="仿宋_GB2312" w:cs="仿宋_GB2312"/>
          <w:sz w:val="32"/>
          <w:szCs w:val="32"/>
          <w:highlight w:val="none"/>
        </w:rPr>
        <w:t>万元。</w:t>
      </w:r>
    </w:p>
    <w:p>
      <w:pPr>
        <w:spacing w:line="560" w:lineRule="exact"/>
        <w:ind w:firstLine="640" w:firstLineChars="200"/>
        <w:jc w:val="left"/>
        <w:rPr>
          <w:rFonts w:ascii="黑体" w:hAnsi="黑体" w:eastAsia="黑体"/>
          <w:color w:val="000000"/>
          <w:kern w:val="0"/>
          <w:sz w:val="32"/>
          <w:szCs w:val="32"/>
          <w:highlight w:val="none"/>
        </w:rPr>
      </w:pPr>
      <w:r>
        <w:rPr>
          <w:rFonts w:hint="eastAsia" w:ascii="黑体" w:hAnsi="黑体" w:eastAsia="黑体"/>
          <w:color w:val="000000"/>
          <w:kern w:val="0"/>
          <w:sz w:val="32"/>
          <w:szCs w:val="32"/>
          <w:highlight w:val="none"/>
        </w:rPr>
        <w:t>十一、政府采购支出情况说明</w:t>
      </w:r>
    </w:p>
    <w:p>
      <w:pPr>
        <w:spacing w:line="56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本部门无政府采购支出，并已公开空表。</w:t>
      </w:r>
    </w:p>
    <w:p>
      <w:pPr>
        <w:spacing w:line="560" w:lineRule="exact"/>
        <w:ind w:firstLine="640" w:firstLineChars="200"/>
        <w:jc w:val="left"/>
        <w:rPr>
          <w:rFonts w:ascii="黑体" w:hAnsi="黑体" w:eastAsia="黑体"/>
          <w:color w:val="000000"/>
          <w:kern w:val="0"/>
          <w:sz w:val="32"/>
          <w:szCs w:val="32"/>
          <w:highlight w:val="none"/>
        </w:rPr>
      </w:pPr>
      <w:r>
        <w:rPr>
          <w:rFonts w:hint="eastAsia" w:ascii="黑体" w:hAnsi="黑体" w:eastAsia="黑体"/>
          <w:color w:val="000000"/>
          <w:kern w:val="0"/>
          <w:sz w:val="32"/>
          <w:szCs w:val="32"/>
          <w:highlight w:val="none"/>
        </w:rPr>
        <w:t>十二、国有资产占用及购置情况说明</w:t>
      </w:r>
    </w:p>
    <w:p>
      <w:pPr>
        <w:spacing w:line="56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截至2020年末，本部门机关及所属单位共有车辆0辆，其中副厅级以上领导用车0辆，主要领导干部用车0辆，机要通信用车0辆，应急保障用车0辆，执法执勤用车0辆，特种专业技术用车0辆，离退休干部用车0辆，其他用车0辆。单价20万元以上的通用设备0台（套）；单价50万元以上的专用设备0台（套）。2020年当年购置车辆0辆；购置单价20万元以上的通用设备0台（套）；购置单价50万元以上的专用设备0台（套）。</w:t>
      </w:r>
    </w:p>
    <w:p>
      <w:pPr>
        <w:numPr>
          <w:ilvl w:val="0"/>
          <w:numId w:val="1"/>
        </w:numPr>
        <w:spacing w:line="560" w:lineRule="exact"/>
        <w:ind w:firstLine="640" w:firstLineChars="200"/>
        <w:jc w:val="left"/>
        <w:rPr>
          <w:rFonts w:ascii="黑体" w:hAnsi="黑体" w:eastAsia="黑体"/>
          <w:color w:val="000000"/>
          <w:kern w:val="0"/>
          <w:sz w:val="32"/>
          <w:szCs w:val="32"/>
          <w:highlight w:val="none"/>
        </w:rPr>
      </w:pPr>
      <w:r>
        <w:rPr>
          <w:rFonts w:hint="eastAsia" w:ascii="黑体" w:hAnsi="黑体" w:eastAsia="黑体"/>
          <w:color w:val="000000"/>
          <w:kern w:val="0"/>
          <w:sz w:val="32"/>
          <w:szCs w:val="32"/>
          <w:highlight w:val="none"/>
        </w:rPr>
        <w:t>预算绩效情况说明</w:t>
      </w:r>
    </w:p>
    <w:p>
      <w:pPr>
        <w:spacing w:line="560" w:lineRule="exact"/>
        <w:ind w:firstLine="643" w:firstLineChars="200"/>
        <w:jc w:val="left"/>
        <w:rPr>
          <w:rFonts w:ascii="楷体_GB2312" w:hAnsi="宋体" w:eastAsia="楷体_GB2312" w:cs="楷体_GB2312"/>
          <w:b/>
          <w:color w:val="000000"/>
          <w:kern w:val="0"/>
          <w:sz w:val="32"/>
          <w:szCs w:val="32"/>
          <w:highlight w:val="none"/>
        </w:rPr>
      </w:pPr>
      <w:r>
        <w:rPr>
          <w:rFonts w:hint="eastAsia" w:ascii="楷体_GB2312" w:hAnsi="宋体" w:eastAsia="楷体_GB2312" w:cs="楷体_GB2312"/>
          <w:b/>
          <w:color w:val="000000"/>
          <w:kern w:val="0"/>
          <w:sz w:val="32"/>
          <w:szCs w:val="32"/>
          <w:highlight w:val="none"/>
        </w:rPr>
        <w:t>（一）</w:t>
      </w:r>
      <w:r>
        <w:rPr>
          <w:rFonts w:ascii="楷体_GB2312" w:hAnsi="宋体" w:eastAsia="楷体_GB2312" w:cs="楷体_GB2312"/>
          <w:b/>
          <w:color w:val="000000"/>
          <w:kern w:val="0"/>
          <w:sz w:val="32"/>
          <w:szCs w:val="32"/>
          <w:highlight w:val="none"/>
        </w:rPr>
        <w:t>预算绩效管理工作开展情况</w:t>
      </w:r>
      <w:r>
        <w:rPr>
          <w:rFonts w:hint="eastAsia" w:ascii="楷体_GB2312" w:hAnsi="宋体" w:eastAsia="楷体_GB2312" w:cs="楷体_GB2312"/>
          <w:b/>
          <w:color w:val="000000"/>
          <w:kern w:val="0"/>
          <w:sz w:val="32"/>
          <w:szCs w:val="32"/>
          <w:highlight w:val="none"/>
        </w:rPr>
        <w:t>说明</w:t>
      </w:r>
      <w:r>
        <w:rPr>
          <w:rFonts w:ascii="楷体_GB2312" w:hAnsi="宋体" w:eastAsia="楷体_GB2312" w:cs="楷体_GB2312"/>
          <w:b/>
          <w:color w:val="000000"/>
          <w:kern w:val="0"/>
          <w:sz w:val="32"/>
          <w:szCs w:val="32"/>
          <w:highlight w:val="none"/>
        </w:rPr>
        <w:t>。</w:t>
      </w:r>
    </w:p>
    <w:p>
      <w:pPr>
        <w:spacing w:line="560" w:lineRule="exact"/>
        <w:ind w:firstLine="640"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本部门</w:t>
      </w:r>
      <w:r>
        <w:rPr>
          <w:rFonts w:hint="eastAsia" w:ascii="黑体" w:hAnsi="黑体" w:eastAsia="黑体"/>
          <w:color w:val="000000"/>
          <w:kern w:val="0"/>
          <w:sz w:val="32"/>
          <w:szCs w:val="32"/>
          <w:highlight w:val="none"/>
        </w:rPr>
        <w:t>2020</w:t>
      </w:r>
      <w:r>
        <w:rPr>
          <w:rFonts w:hint="eastAsia" w:ascii="仿宋_GB2312" w:hAnsi="仿宋_GB2312" w:eastAsia="仿宋_GB2312" w:cs="仿宋_GB2312"/>
          <w:kern w:val="0"/>
          <w:sz w:val="32"/>
          <w:szCs w:val="32"/>
          <w:highlight w:val="none"/>
        </w:rPr>
        <w:t>年未开展绩效管理工作，计划在下年度探索开展绩效管理工作。</w:t>
      </w:r>
    </w:p>
    <w:p>
      <w:pPr>
        <w:spacing w:line="560" w:lineRule="exact"/>
        <w:ind w:firstLine="643" w:firstLineChars="200"/>
        <w:jc w:val="left"/>
        <w:rPr>
          <w:rFonts w:ascii="楷体_GB2312" w:hAnsi="宋体" w:eastAsia="楷体_GB2312" w:cs="楷体_GB2312"/>
          <w:b/>
          <w:color w:val="000000"/>
          <w:kern w:val="0"/>
          <w:sz w:val="32"/>
          <w:szCs w:val="32"/>
          <w:highlight w:val="none"/>
        </w:rPr>
      </w:pPr>
      <w:r>
        <w:rPr>
          <w:rFonts w:hint="eastAsia" w:ascii="楷体_GB2312" w:hAnsi="宋体" w:eastAsia="楷体_GB2312" w:cs="楷体_GB2312"/>
          <w:b/>
          <w:color w:val="000000"/>
          <w:kern w:val="0"/>
          <w:sz w:val="32"/>
          <w:szCs w:val="32"/>
          <w:highlight w:val="none"/>
        </w:rPr>
        <w:t>（二）部门决算中项目绩效自评结果</w:t>
      </w:r>
      <w:r>
        <w:rPr>
          <w:rFonts w:ascii="楷体_GB2312" w:hAnsi="宋体" w:eastAsia="楷体_GB2312" w:cs="楷体_GB2312"/>
          <w:b/>
          <w:color w:val="000000"/>
          <w:kern w:val="0"/>
          <w:sz w:val="32"/>
          <w:szCs w:val="32"/>
          <w:highlight w:val="none"/>
        </w:rPr>
        <w:t>。</w:t>
      </w:r>
    </w:p>
    <w:p>
      <w:pPr>
        <w:spacing w:line="560" w:lineRule="exact"/>
        <w:ind w:firstLine="640"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本部门</w:t>
      </w:r>
      <w:r>
        <w:rPr>
          <w:rFonts w:hint="eastAsia" w:ascii="黑体" w:hAnsi="黑体" w:eastAsia="黑体"/>
          <w:color w:val="000000"/>
          <w:kern w:val="0"/>
          <w:sz w:val="32"/>
          <w:szCs w:val="32"/>
          <w:highlight w:val="none"/>
        </w:rPr>
        <w:t>2020</w:t>
      </w:r>
      <w:r>
        <w:rPr>
          <w:rFonts w:hint="eastAsia" w:ascii="仿宋_GB2312" w:hAnsi="仿宋_GB2312" w:eastAsia="仿宋_GB2312" w:cs="仿宋_GB2312"/>
          <w:kern w:val="0"/>
          <w:sz w:val="32"/>
          <w:szCs w:val="32"/>
          <w:highlight w:val="none"/>
        </w:rPr>
        <w:t>年未开展绩效管理工作，计划在以后年度开展绩效管理工作。</w:t>
      </w:r>
    </w:p>
    <w:p>
      <w:pPr>
        <w:spacing w:line="560" w:lineRule="exact"/>
        <w:ind w:firstLine="643" w:firstLineChars="200"/>
        <w:jc w:val="left"/>
        <w:rPr>
          <w:rFonts w:ascii="楷体_GB2312" w:hAnsi="宋体" w:eastAsia="楷体_GB2312" w:cs="楷体_GB2312"/>
          <w:b/>
          <w:color w:val="000000"/>
          <w:kern w:val="0"/>
          <w:sz w:val="32"/>
          <w:szCs w:val="32"/>
          <w:highlight w:val="none"/>
        </w:rPr>
      </w:pPr>
      <w:r>
        <w:rPr>
          <w:rFonts w:hint="eastAsia" w:ascii="楷体_GB2312" w:hAnsi="宋体" w:eastAsia="楷体_GB2312" w:cs="楷体_GB2312"/>
          <w:b/>
          <w:color w:val="000000"/>
          <w:kern w:val="0"/>
          <w:sz w:val="32"/>
          <w:szCs w:val="32"/>
          <w:highlight w:val="none"/>
        </w:rPr>
        <w:t>（三）部门整体支出绩效自评结果</w:t>
      </w:r>
      <w:r>
        <w:rPr>
          <w:rFonts w:ascii="楷体_GB2312" w:hAnsi="宋体" w:eastAsia="楷体_GB2312" w:cs="楷体_GB2312"/>
          <w:b/>
          <w:color w:val="000000"/>
          <w:kern w:val="0"/>
          <w:sz w:val="32"/>
          <w:szCs w:val="32"/>
          <w:highlight w:val="none"/>
        </w:rPr>
        <w:t>。</w:t>
      </w:r>
    </w:p>
    <w:p>
      <w:pPr>
        <w:spacing w:line="560" w:lineRule="exact"/>
        <w:ind w:firstLine="320" w:firstLineChars="100"/>
        <w:jc w:val="left"/>
        <w:rPr>
          <w:rFonts w:ascii="楷体_GB2312" w:hAnsi="宋体" w:eastAsia="楷体_GB2312" w:cs="楷体_GB2312"/>
          <w:b/>
          <w:color w:val="000000"/>
          <w:kern w:val="0"/>
          <w:sz w:val="32"/>
          <w:szCs w:val="32"/>
          <w:highlight w:val="none"/>
        </w:rPr>
      </w:pPr>
      <w:r>
        <w:rPr>
          <w:rFonts w:hint="eastAsia" w:ascii="仿宋_GB2312" w:hAnsi="仿宋_GB2312" w:eastAsia="仿宋_GB2312" w:cs="仿宋_GB2312"/>
          <w:kern w:val="0"/>
          <w:sz w:val="32"/>
          <w:szCs w:val="32"/>
          <w:highlight w:val="none"/>
        </w:rPr>
        <w:t>本部门</w:t>
      </w:r>
      <w:r>
        <w:rPr>
          <w:rFonts w:hint="eastAsia" w:ascii="黑体" w:hAnsi="黑体" w:eastAsia="黑体"/>
          <w:color w:val="000000"/>
          <w:kern w:val="0"/>
          <w:sz w:val="32"/>
          <w:szCs w:val="32"/>
          <w:highlight w:val="none"/>
        </w:rPr>
        <w:t>2020</w:t>
      </w:r>
      <w:r>
        <w:rPr>
          <w:rFonts w:hint="eastAsia" w:ascii="仿宋_GB2312" w:hAnsi="仿宋_GB2312" w:eastAsia="仿宋_GB2312" w:cs="仿宋_GB2312"/>
          <w:kern w:val="0"/>
          <w:sz w:val="32"/>
          <w:szCs w:val="32"/>
          <w:highlight w:val="none"/>
        </w:rPr>
        <w:t>年未开展绩效管理工作，计划在以后年度开展绩效管理工作。</w:t>
      </w:r>
    </w:p>
    <w:p>
      <w:pPr>
        <w:spacing w:line="560" w:lineRule="exact"/>
        <w:jc w:val="left"/>
        <w:rPr>
          <w:rFonts w:ascii="楷体_GB2312" w:hAnsi="宋体" w:eastAsia="楷体_GB2312" w:cs="楷体_GB2312"/>
          <w:b/>
          <w:color w:val="000000"/>
          <w:kern w:val="0"/>
          <w:sz w:val="32"/>
          <w:szCs w:val="32"/>
          <w:highlight w:val="none"/>
        </w:rPr>
      </w:pPr>
    </w:p>
    <w:p>
      <w:pPr>
        <w:spacing w:line="560" w:lineRule="exact"/>
        <w:jc w:val="left"/>
        <w:rPr>
          <w:rFonts w:ascii="楷体_GB2312" w:hAnsi="宋体" w:eastAsia="楷体_GB2312" w:cs="楷体_GB2312"/>
          <w:b/>
          <w:color w:val="000000"/>
          <w:kern w:val="0"/>
          <w:sz w:val="32"/>
          <w:szCs w:val="32"/>
          <w:highlight w:val="none"/>
        </w:rPr>
      </w:pPr>
    </w:p>
    <w:tbl>
      <w:tblPr>
        <w:tblStyle w:val="6"/>
        <w:tblW w:w="0" w:type="auto"/>
        <w:tblInd w:w="0" w:type="dxa"/>
        <w:tblLayout w:type="fixed"/>
        <w:tblCellMar>
          <w:top w:w="0" w:type="dxa"/>
          <w:left w:w="0" w:type="dxa"/>
          <w:bottom w:w="0" w:type="dxa"/>
          <w:right w:w="0" w:type="dxa"/>
        </w:tblCellMar>
      </w:tblPr>
      <w:tblGrid>
        <w:gridCol w:w="299"/>
        <w:gridCol w:w="226"/>
        <w:gridCol w:w="166"/>
        <w:gridCol w:w="459"/>
        <w:gridCol w:w="289"/>
        <w:gridCol w:w="894"/>
        <w:gridCol w:w="1245"/>
        <w:gridCol w:w="632"/>
        <w:gridCol w:w="1225"/>
        <w:gridCol w:w="51"/>
        <w:gridCol w:w="621"/>
        <w:gridCol w:w="347"/>
        <w:gridCol w:w="282"/>
        <w:gridCol w:w="86"/>
        <w:gridCol w:w="346"/>
        <w:gridCol w:w="380"/>
        <w:gridCol w:w="252"/>
        <w:gridCol w:w="218"/>
        <w:gridCol w:w="664"/>
        <w:gridCol w:w="158"/>
      </w:tblGrid>
      <w:tr>
        <w:tblPrEx>
          <w:tblCellMar>
            <w:top w:w="0" w:type="dxa"/>
            <w:left w:w="0" w:type="dxa"/>
            <w:bottom w:w="0" w:type="dxa"/>
            <w:right w:w="0" w:type="dxa"/>
          </w:tblCellMar>
        </w:tblPrEx>
        <w:trPr>
          <w:trHeight w:val="90" w:hRule="atLeast"/>
        </w:trPr>
        <w:tc>
          <w:tcPr>
            <w:tcW w:w="8840" w:type="dxa"/>
            <w:gridSpan w:val="20"/>
            <w:tcBorders>
              <w:top w:val="nil"/>
              <w:left w:val="nil"/>
              <w:bottom w:val="nil"/>
              <w:right w:val="nil"/>
            </w:tcBorders>
            <w:tcMar>
              <w:top w:w="12" w:type="dxa"/>
              <w:left w:w="12" w:type="dxa"/>
              <w:right w:w="12" w:type="dxa"/>
            </w:tcMar>
            <w:vAlign w:val="center"/>
          </w:tcPr>
          <w:p>
            <w:pPr>
              <w:widowControl/>
              <w:spacing w:line="580" w:lineRule="exact"/>
              <w:jc w:val="center"/>
              <w:textAlignment w:val="center"/>
              <w:rPr>
                <w:rFonts w:ascii="方正小标宋简体" w:hAnsi="方正小标宋简体" w:eastAsia="方正小标宋简体" w:cs="方正小标宋简体"/>
                <w:color w:val="000000"/>
                <w:sz w:val="44"/>
                <w:szCs w:val="44"/>
                <w:highlight w:val="none"/>
              </w:rPr>
            </w:pPr>
            <w:r>
              <w:rPr>
                <w:rFonts w:hint="eastAsia" w:ascii="方正小标宋简体" w:hAnsi="方正小标宋简体" w:eastAsia="方正小标宋简体" w:cs="方正小标宋简体"/>
                <w:color w:val="000000"/>
                <w:kern w:val="0"/>
                <w:sz w:val="44"/>
                <w:szCs w:val="44"/>
                <w:highlight w:val="none"/>
              </w:rPr>
              <w:t>市级预算（项目）绩效目标自评表</w:t>
            </w:r>
          </w:p>
        </w:tc>
      </w:tr>
      <w:tr>
        <w:tblPrEx>
          <w:tblCellMar>
            <w:top w:w="0" w:type="dxa"/>
            <w:left w:w="0" w:type="dxa"/>
            <w:bottom w:w="0" w:type="dxa"/>
            <w:right w:w="0" w:type="dxa"/>
          </w:tblCellMar>
        </w:tblPrEx>
        <w:trPr>
          <w:trHeight w:val="90" w:hRule="atLeast"/>
        </w:trPr>
        <w:tc>
          <w:tcPr>
            <w:tcW w:w="8840" w:type="dxa"/>
            <w:gridSpan w:val="20"/>
            <w:tcBorders>
              <w:top w:val="nil"/>
              <w:left w:val="nil"/>
              <w:bottom w:val="single" w:color="000000" w:sz="4" w:space="0"/>
              <w:right w:val="nil"/>
            </w:tcBorders>
            <w:tcMar>
              <w:top w:w="12" w:type="dxa"/>
              <w:left w:w="12" w:type="dxa"/>
              <w:right w:w="12" w:type="dxa"/>
            </w:tcMar>
            <w:vAlign w:val="center"/>
          </w:tcPr>
          <w:p>
            <w:pPr>
              <w:widowControl/>
              <w:spacing w:line="240" w:lineRule="exact"/>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（2020年度）</w:t>
            </w:r>
          </w:p>
        </w:tc>
      </w:tr>
      <w:tr>
        <w:tblPrEx>
          <w:tblCellMar>
            <w:top w:w="0" w:type="dxa"/>
            <w:left w:w="0" w:type="dxa"/>
            <w:bottom w:w="0" w:type="dxa"/>
            <w:right w:w="0" w:type="dxa"/>
          </w:tblCellMar>
        </w:tblPrEx>
        <w:trPr>
          <w:trHeight w:val="90" w:hRule="atLeast"/>
        </w:trPr>
        <w:tc>
          <w:tcPr>
            <w:tcW w:w="2333"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专项（项目）名称</w:t>
            </w:r>
          </w:p>
        </w:tc>
        <w:tc>
          <w:tcPr>
            <w:tcW w:w="6507" w:type="dxa"/>
            <w:gridSpan w:val="1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（部门预算项目或专项名称）</w:t>
            </w:r>
          </w:p>
        </w:tc>
      </w:tr>
      <w:tr>
        <w:tblPrEx>
          <w:tblCellMar>
            <w:top w:w="0" w:type="dxa"/>
            <w:left w:w="0" w:type="dxa"/>
            <w:bottom w:w="0" w:type="dxa"/>
            <w:right w:w="0" w:type="dxa"/>
          </w:tblCellMar>
        </w:tblPrEx>
        <w:trPr>
          <w:trHeight w:val="90" w:hRule="atLeast"/>
        </w:trPr>
        <w:tc>
          <w:tcPr>
            <w:tcW w:w="2333"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市级主管部门</w:t>
            </w:r>
          </w:p>
        </w:tc>
        <w:tc>
          <w:tcPr>
            <w:tcW w:w="310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实施单位</w:t>
            </w:r>
          </w:p>
        </w:tc>
        <w:tc>
          <w:tcPr>
            <w:tcW w:w="2104"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2333" w:type="dxa"/>
            <w:gridSpan w:val="6"/>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项目资金（万元）</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全年预算数（A）</w:t>
            </w:r>
          </w:p>
        </w:tc>
        <w:tc>
          <w:tcPr>
            <w:tcW w:w="236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全年执行数（B）</w:t>
            </w:r>
          </w:p>
        </w:tc>
        <w:tc>
          <w:tcPr>
            <w:tcW w:w="104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执行率（B/A）</w:t>
            </w:r>
          </w:p>
        </w:tc>
      </w:tr>
      <w:tr>
        <w:tblPrEx>
          <w:tblCellMar>
            <w:top w:w="0" w:type="dxa"/>
            <w:left w:w="0" w:type="dxa"/>
            <w:bottom w:w="0" w:type="dxa"/>
            <w:right w:w="0" w:type="dxa"/>
          </w:tblCellMar>
        </w:tblPrEx>
        <w:trPr>
          <w:trHeight w:val="90" w:hRule="atLeast"/>
        </w:trPr>
        <w:tc>
          <w:tcPr>
            <w:tcW w:w="2333" w:type="dxa"/>
            <w:gridSpan w:val="6"/>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年度资金总额：</w:t>
            </w: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236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04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2333" w:type="dxa"/>
            <w:gridSpan w:val="6"/>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其中:市级财政资金</w:t>
            </w: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236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04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2333" w:type="dxa"/>
            <w:gridSpan w:val="6"/>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 xml:space="preserve"> 其他资金</w:t>
            </w: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236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04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2333" w:type="dxa"/>
            <w:gridSpan w:val="6"/>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2365"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04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 xml:space="preserve">年度总体目标 </w:t>
            </w:r>
          </w:p>
        </w:tc>
        <w:tc>
          <w:tcPr>
            <w:tcW w:w="4910"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年初设定目标</w:t>
            </w:r>
          </w:p>
        </w:tc>
        <w:tc>
          <w:tcPr>
            <w:tcW w:w="3405"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全年实际完成情况</w:t>
            </w: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4910"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3405"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绩</w:t>
            </w:r>
          </w:p>
          <w:p>
            <w:pPr>
              <w:spacing w:line="220" w:lineRule="exact"/>
              <w:jc w:val="center"/>
              <w:textAlignment w:val="center"/>
              <w:rPr>
                <w:rFonts w:ascii="宋体" w:hAnsi="宋体" w:cs="宋体"/>
                <w:color w:val="000000"/>
                <w:kern w:val="0"/>
                <w:szCs w:val="21"/>
                <w:highlight w:val="none"/>
              </w:rPr>
            </w:pPr>
          </w:p>
          <w:p>
            <w:pPr>
              <w:spacing w:line="220" w:lineRule="exact"/>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效</w:t>
            </w:r>
          </w:p>
          <w:p>
            <w:pPr>
              <w:spacing w:line="220" w:lineRule="exact"/>
              <w:jc w:val="center"/>
              <w:textAlignment w:val="center"/>
              <w:rPr>
                <w:rFonts w:ascii="宋体" w:hAnsi="宋体" w:cs="宋体"/>
                <w:color w:val="000000"/>
                <w:kern w:val="0"/>
                <w:szCs w:val="21"/>
                <w:highlight w:val="none"/>
              </w:rPr>
            </w:pPr>
          </w:p>
          <w:p>
            <w:pPr>
              <w:spacing w:line="220" w:lineRule="exact"/>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指</w:t>
            </w:r>
          </w:p>
          <w:p>
            <w:pPr>
              <w:spacing w:line="220" w:lineRule="exact"/>
              <w:jc w:val="center"/>
              <w:textAlignment w:val="center"/>
              <w:rPr>
                <w:rFonts w:ascii="宋体" w:hAnsi="宋体" w:cs="宋体"/>
                <w:color w:val="000000"/>
                <w:kern w:val="0"/>
                <w:szCs w:val="21"/>
                <w:highlight w:val="none"/>
              </w:rPr>
            </w:pPr>
          </w:p>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标</w:t>
            </w:r>
          </w:p>
        </w:tc>
        <w:tc>
          <w:tcPr>
            <w:tcW w:w="62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一级指标</w:t>
            </w:r>
          </w:p>
        </w:tc>
        <w:tc>
          <w:tcPr>
            <w:tcW w:w="11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二级指标</w:t>
            </w:r>
          </w:p>
        </w:tc>
        <w:tc>
          <w:tcPr>
            <w:tcW w:w="310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三级指标</w:t>
            </w: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 xml:space="preserve">年度指标值 </w:t>
            </w: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全年完成值</w:t>
            </w: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未完成原因改进措施</w:t>
            </w: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产出指标</w:t>
            </w: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数量指标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质量指标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时效指标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成本指标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1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效益指标</w:t>
            </w: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经济效益</w:t>
            </w:r>
          </w:p>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highlight w:val="none"/>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社会效益</w:t>
            </w:r>
          </w:p>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生态效益</w:t>
            </w:r>
          </w:p>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可持续影响指标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continue"/>
            <w:tcBorders>
              <w:left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1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满意度指标</w:t>
            </w:r>
          </w:p>
        </w:tc>
        <w:tc>
          <w:tcPr>
            <w:tcW w:w="118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服务对象满意度指标</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18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1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w:t>
            </w: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90" w:hRule="atLeast"/>
        </w:trPr>
        <w:tc>
          <w:tcPr>
            <w:tcW w:w="52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rPr>
              <w:t>说明</w:t>
            </w:r>
          </w:p>
        </w:tc>
        <w:tc>
          <w:tcPr>
            <w:tcW w:w="62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1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20" w:lineRule="exact"/>
              <w:jc w:val="center"/>
              <w:rPr>
                <w:rFonts w:ascii="宋体" w:hAnsi="宋体" w:cs="宋体"/>
                <w:color w:val="000000"/>
                <w:szCs w:val="21"/>
                <w:highlight w:val="none"/>
              </w:rPr>
            </w:pPr>
          </w:p>
        </w:tc>
        <w:tc>
          <w:tcPr>
            <w:tcW w:w="1877"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301"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81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c>
          <w:tcPr>
            <w:tcW w:w="129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240" w:lineRule="exact"/>
              <w:jc w:val="center"/>
              <w:rPr>
                <w:rFonts w:ascii="宋体" w:hAnsi="宋体" w:cs="宋体"/>
                <w:color w:val="000000"/>
                <w:szCs w:val="21"/>
                <w:highlight w:val="none"/>
              </w:rPr>
            </w:pPr>
          </w:p>
        </w:tc>
      </w:tr>
      <w:tr>
        <w:tblPrEx>
          <w:tblCellMar>
            <w:top w:w="0" w:type="dxa"/>
            <w:left w:w="0" w:type="dxa"/>
            <w:bottom w:w="0" w:type="dxa"/>
            <w:right w:w="0" w:type="dxa"/>
          </w:tblCellMar>
        </w:tblPrEx>
        <w:trPr>
          <w:trHeight w:val="1809" w:hRule="atLeast"/>
        </w:trPr>
        <w:tc>
          <w:tcPr>
            <w:tcW w:w="8840" w:type="dxa"/>
            <w:gridSpan w:val="20"/>
            <w:tcBorders>
              <w:top w:val="single" w:color="000000" w:sz="4" w:space="0"/>
              <w:left w:val="nil"/>
              <w:bottom w:val="nil"/>
              <w:right w:val="nil"/>
            </w:tcBorders>
            <w:tcMar>
              <w:top w:w="12" w:type="dxa"/>
              <w:left w:w="12" w:type="dxa"/>
              <w:right w:w="12" w:type="dxa"/>
            </w:tcMar>
            <w:vAlign w:val="center"/>
          </w:tcPr>
          <w:p>
            <w:pPr>
              <w:spacing w:line="240" w:lineRule="exact"/>
              <w:jc w:val="left"/>
              <w:textAlignment w:val="center"/>
              <w:rPr>
                <w:rFonts w:ascii="宋体" w:hAnsi="宋体" w:cs="宋体"/>
                <w:color w:val="000000"/>
                <w:kern w:val="0"/>
                <w:sz w:val="18"/>
                <w:szCs w:val="18"/>
                <w:highlight w:val="none"/>
              </w:rPr>
            </w:pPr>
          </w:p>
          <w:p>
            <w:pPr>
              <w:spacing w:line="240" w:lineRule="exact"/>
              <w:jc w:val="left"/>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注：1、其他资金包括和财政资金共同投入到同一项目的自有资金、社会资金，以及以前年度的结余资金等。</w:t>
            </w:r>
          </w:p>
          <w:p>
            <w:pPr>
              <w:spacing w:line="240" w:lineRule="exact"/>
              <w:jc w:val="left"/>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2、定量指标，资金使用单位填写本地区实际完成数。主管部门汇总时，对绝对值直接累加计算，相对值按照资金额度加权平均计算。</w:t>
            </w:r>
          </w:p>
          <w:p>
            <w:pPr>
              <w:spacing w:line="240" w:lineRule="exact"/>
              <w:jc w:val="left"/>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3、定性指标根据指标完成情况分为：全部或基本达成预期指标、部分达成预期指标并具有一定效果、未达成预期指标且效果较差三档，分别按照100%－80%（含）、80%-60%（含）、60%－0%合理填写完成比例。</w:t>
            </w:r>
          </w:p>
          <w:p>
            <w:pPr>
              <w:spacing w:line="240" w:lineRule="exact"/>
              <w:jc w:val="left"/>
              <w:textAlignment w:val="center"/>
              <w:rPr>
                <w:rFonts w:ascii="宋体" w:hAnsi="宋体" w:cs="宋体"/>
                <w:color w:val="000000"/>
                <w:kern w:val="0"/>
                <w:sz w:val="18"/>
                <w:szCs w:val="18"/>
                <w:highlight w:val="none"/>
              </w:rPr>
            </w:pPr>
          </w:p>
          <w:p>
            <w:pPr>
              <w:spacing w:line="240" w:lineRule="exact"/>
              <w:jc w:val="left"/>
              <w:textAlignment w:val="center"/>
              <w:rPr>
                <w:rFonts w:ascii="宋体" w:hAnsi="宋体" w:cs="宋体"/>
                <w:color w:val="000000"/>
                <w:kern w:val="0"/>
                <w:sz w:val="18"/>
                <w:szCs w:val="18"/>
                <w:highlight w:val="none"/>
              </w:rPr>
            </w:pPr>
          </w:p>
        </w:tc>
      </w:tr>
      <w:tr>
        <w:tblPrEx>
          <w:tblCellMar>
            <w:top w:w="0" w:type="dxa"/>
            <w:left w:w="0" w:type="dxa"/>
            <w:bottom w:w="0" w:type="dxa"/>
            <w:right w:w="0" w:type="dxa"/>
          </w:tblCellMar>
        </w:tblPrEx>
        <w:trPr>
          <w:gridAfter w:val="1"/>
          <w:wAfter w:w="158" w:type="dxa"/>
          <w:trHeight w:val="90" w:hRule="atLeast"/>
        </w:trPr>
        <w:tc>
          <w:tcPr>
            <w:tcW w:w="8682" w:type="dxa"/>
            <w:gridSpan w:val="19"/>
            <w:tcBorders>
              <w:top w:val="nil"/>
              <w:left w:val="nil"/>
              <w:bottom w:val="nil"/>
              <w:right w:val="nil"/>
            </w:tcBorders>
            <w:tcMar>
              <w:top w:w="12" w:type="dxa"/>
              <w:left w:w="12" w:type="dxa"/>
              <w:right w:w="12" w:type="dxa"/>
            </w:tcMar>
            <w:vAlign w:val="center"/>
          </w:tcPr>
          <w:p>
            <w:pPr>
              <w:adjustRightInd w:val="0"/>
              <w:snapToGrid w:val="0"/>
              <w:spacing w:line="560" w:lineRule="exact"/>
              <w:ind w:firstLine="880" w:firstLineChars="200"/>
              <w:jc w:val="center"/>
              <w:rPr>
                <w:rFonts w:ascii="方正小标宋简体" w:hAnsi="方正小标宋简体" w:eastAsia="方正小标宋简体" w:cs="方正小标宋简体"/>
                <w:color w:val="000000"/>
                <w:kern w:val="0"/>
                <w:sz w:val="44"/>
                <w:szCs w:val="44"/>
                <w:highlight w:val="none"/>
              </w:rPr>
            </w:pPr>
          </w:p>
          <w:p>
            <w:pPr>
              <w:adjustRightInd w:val="0"/>
              <w:snapToGrid w:val="0"/>
              <w:spacing w:line="560" w:lineRule="exact"/>
              <w:ind w:firstLine="880" w:firstLineChars="200"/>
              <w:jc w:val="center"/>
              <w:rPr>
                <w:rFonts w:ascii="方正小标宋简体" w:hAnsi="方正小标宋简体" w:eastAsia="方正小标宋简体" w:cs="方正小标宋简体"/>
                <w:color w:val="000000"/>
                <w:kern w:val="0"/>
                <w:sz w:val="44"/>
                <w:szCs w:val="44"/>
                <w:highlight w:val="none"/>
              </w:rPr>
            </w:pPr>
          </w:p>
          <w:p>
            <w:pPr>
              <w:adjustRightInd w:val="0"/>
              <w:snapToGrid w:val="0"/>
              <w:spacing w:line="560" w:lineRule="exact"/>
              <w:ind w:firstLine="880" w:firstLineChars="200"/>
              <w:jc w:val="center"/>
              <w:rPr>
                <w:rFonts w:ascii="方正小标宋简体" w:hAnsi="方正小标宋简体" w:eastAsia="方正小标宋简体" w:cs="方正小标宋简体"/>
                <w:color w:val="000000"/>
                <w:sz w:val="44"/>
                <w:szCs w:val="44"/>
                <w:highlight w:val="none"/>
              </w:rPr>
            </w:pPr>
            <w:r>
              <w:rPr>
                <w:rFonts w:hint="eastAsia" w:ascii="方正小标宋简体" w:hAnsi="方正小标宋简体" w:eastAsia="方正小标宋简体" w:cs="方正小标宋简体"/>
                <w:color w:val="000000"/>
                <w:kern w:val="0"/>
                <w:sz w:val="44"/>
                <w:szCs w:val="44"/>
                <w:highlight w:val="none"/>
              </w:rPr>
              <w:t>部门整体支出绩效自评表</w:t>
            </w:r>
          </w:p>
        </w:tc>
      </w:tr>
      <w:tr>
        <w:tblPrEx>
          <w:tblCellMar>
            <w:top w:w="0" w:type="dxa"/>
            <w:left w:w="0" w:type="dxa"/>
            <w:bottom w:w="0" w:type="dxa"/>
            <w:right w:w="0" w:type="dxa"/>
          </w:tblCellMar>
        </w:tblPrEx>
        <w:trPr>
          <w:trHeight w:val="90" w:hRule="atLeast"/>
        </w:trPr>
        <w:tc>
          <w:tcPr>
            <w:tcW w:w="8840" w:type="dxa"/>
            <w:gridSpan w:val="20"/>
            <w:tcBorders>
              <w:top w:val="nil"/>
              <w:left w:val="nil"/>
              <w:bottom w:val="nil"/>
              <w:right w:val="nil"/>
            </w:tcBorders>
            <w:tcMar>
              <w:top w:w="12" w:type="dxa"/>
              <w:left w:w="12" w:type="dxa"/>
              <w:right w:w="12" w:type="dxa"/>
            </w:tcMar>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（2020年度）</w:t>
            </w:r>
          </w:p>
        </w:tc>
      </w:tr>
      <w:tr>
        <w:tblPrEx>
          <w:tblCellMar>
            <w:top w:w="0" w:type="dxa"/>
            <w:left w:w="0" w:type="dxa"/>
            <w:bottom w:w="0" w:type="dxa"/>
            <w:right w:w="0" w:type="dxa"/>
          </w:tblCellMar>
        </w:tblPrEx>
        <w:trPr>
          <w:trHeight w:val="90" w:hRule="atLeast"/>
        </w:trPr>
        <w:tc>
          <w:tcPr>
            <w:tcW w:w="8840" w:type="dxa"/>
            <w:gridSpan w:val="20"/>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填报单位：自评得分：</w:t>
            </w:r>
          </w:p>
        </w:tc>
      </w:tr>
      <w:tr>
        <w:tblPrEx>
          <w:tblCellMar>
            <w:top w:w="0" w:type="dxa"/>
            <w:left w:w="0" w:type="dxa"/>
            <w:bottom w:w="0" w:type="dxa"/>
            <w:right w:w="0" w:type="dxa"/>
          </w:tblCellMar>
        </w:tblPrEx>
        <w:trPr>
          <w:trHeight w:val="90" w:hRule="atLeast"/>
        </w:trPr>
        <w:tc>
          <w:tcPr>
            <w:tcW w:w="3578"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（一）简要概述部门职能与职责。</w:t>
            </w:r>
          </w:p>
        </w:tc>
        <w:tc>
          <w:tcPr>
            <w:tcW w:w="5262" w:type="dxa"/>
            <w:gridSpan w:val="1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r>
      <w:tr>
        <w:tblPrEx>
          <w:tblCellMar>
            <w:top w:w="0" w:type="dxa"/>
            <w:left w:w="0" w:type="dxa"/>
            <w:bottom w:w="0" w:type="dxa"/>
            <w:right w:w="0" w:type="dxa"/>
          </w:tblCellMar>
        </w:tblPrEx>
        <w:trPr>
          <w:trHeight w:val="90" w:hRule="atLeast"/>
        </w:trPr>
        <w:tc>
          <w:tcPr>
            <w:tcW w:w="3578"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（二）简要概述部门支出情况，按活动内容分类。</w:t>
            </w:r>
          </w:p>
        </w:tc>
        <w:tc>
          <w:tcPr>
            <w:tcW w:w="5262" w:type="dxa"/>
            <w:gridSpan w:val="1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r>
      <w:tr>
        <w:tblPrEx>
          <w:tblCellMar>
            <w:top w:w="0" w:type="dxa"/>
            <w:left w:w="0" w:type="dxa"/>
            <w:bottom w:w="0" w:type="dxa"/>
            <w:right w:w="0" w:type="dxa"/>
          </w:tblCellMar>
        </w:tblPrEx>
        <w:trPr>
          <w:trHeight w:val="90" w:hRule="atLeast"/>
        </w:trPr>
        <w:tc>
          <w:tcPr>
            <w:tcW w:w="3578"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（三）简要概述当年政府下达的重点工作。</w:t>
            </w:r>
          </w:p>
        </w:tc>
        <w:tc>
          <w:tcPr>
            <w:tcW w:w="5262" w:type="dxa"/>
            <w:gridSpan w:val="1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r>
      <w:tr>
        <w:tblPrEx>
          <w:tblCellMar>
            <w:top w:w="0" w:type="dxa"/>
            <w:left w:w="0" w:type="dxa"/>
            <w:bottom w:w="0" w:type="dxa"/>
            <w:right w:w="0" w:type="dxa"/>
          </w:tblCellMar>
        </w:tblPrEx>
        <w:trPr>
          <w:trHeight w:val="90" w:hRule="atLeast"/>
        </w:trPr>
        <w:tc>
          <w:tcPr>
            <w:tcW w:w="2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一级指标</w:t>
            </w:r>
          </w:p>
        </w:tc>
        <w:tc>
          <w:tcPr>
            <w:tcW w:w="3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二级指标</w:t>
            </w: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三级指标</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分值</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指标说明</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评分标准</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指标值计算公工和数据获取方式</w:t>
            </w: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年初</w:t>
            </w:r>
          </w:p>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目标值</w:t>
            </w: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实际</w:t>
            </w:r>
          </w:p>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完成值</w:t>
            </w: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得分</w:t>
            </w: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未完成原因分析与改进措施</w:t>
            </w: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绩效指标分析与建议</w:t>
            </w:r>
          </w:p>
        </w:tc>
      </w:tr>
      <w:tr>
        <w:tblPrEx>
          <w:tblCellMar>
            <w:top w:w="0" w:type="dxa"/>
            <w:left w:w="0" w:type="dxa"/>
            <w:bottom w:w="0" w:type="dxa"/>
            <w:right w:w="0" w:type="dxa"/>
          </w:tblCellMar>
        </w:tblPrEx>
        <w:trPr>
          <w:trHeight w:val="90" w:hRule="atLeast"/>
        </w:trPr>
        <w:tc>
          <w:tcPr>
            <w:tcW w:w="2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投入</w:t>
            </w:r>
          </w:p>
        </w:tc>
        <w:tc>
          <w:tcPr>
            <w:tcW w:w="392"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预算执行（25分）</w:t>
            </w:r>
          </w:p>
        </w:tc>
        <w:tc>
          <w:tcPr>
            <w:tcW w:w="459" w:type="dxa"/>
            <w:tcBorders>
              <w:top w:val="nil"/>
              <w:left w:val="nil"/>
              <w:bottom w:val="nil"/>
              <w:right w:val="nil"/>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预算完成率（10分）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10</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预算完成率＝（预算完成数/预算数）×100%，用以反映和考核部门（单位）预算完成程度。</w:t>
            </w:r>
          </w:p>
          <w:p>
            <w:pPr>
              <w:widowControl/>
              <w:spacing w:line="230" w:lineRule="exact"/>
              <w:jc w:val="left"/>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预算完成数：部门（单位）本年度实际完成的预算数。</w:t>
            </w:r>
          </w:p>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预算数：财政部门批复的本年度部门（单位）预算数。</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pacing w:val="-6"/>
                <w:kern w:val="0"/>
                <w:sz w:val="18"/>
                <w:szCs w:val="18"/>
                <w:highlight w:val="none"/>
              </w:rPr>
            </w:pPr>
            <w:r>
              <w:rPr>
                <w:rFonts w:hint="eastAsia" w:ascii="宋体" w:hAnsi="宋体" w:cs="宋体"/>
                <w:color w:val="000000"/>
                <w:kern w:val="0"/>
                <w:sz w:val="18"/>
                <w:szCs w:val="18"/>
                <w:highlight w:val="none"/>
              </w:rPr>
              <w:t>预算</w:t>
            </w:r>
            <w:r>
              <w:rPr>
                <w:rFonts w:hint="eastAsia" w:ascii="宋体" w:hAnsi="宋体" w:cs="宋体"/>
                <w:color w:val="000000"/>
                <w:spacing w:val="-6"/>
                <w:kern w:val="0"/>
                <w:sz w:val="18"/>
                <w:szCs w:val="18"/>
                <w:highlight w:val="none"/>
              </w:rPr>
              <w:t>完成率＝100%的，得10分。</w:t>
            </w:r>
          </w:p>
          <w:p>
            <w:pPr>
              <w:widowControl/>
              <w:spacing w:line="230" w:lineRule="exact"/>
              <w:jc w:val="left"/>
              <w:textAlignment w:val="center"/>
              <w:rPr>
                <w:rFonts w:ascii="宋体" w:hAnsi="宋体" w:cs="宋体"/>
                <w:color w:val="000000"/>
                <w:spacing w:val="-6"/>
                <w:kern w:val="0"/>
                <w:sz w:val="18"/>
                <w:szCs w:val="18"/>
                <w:highlight w:val="none"/>
              </w:rPr>
            </w:pPr>
            <w:r>
              <w:rPr>
                <w:rFonts w:hint="eastAsia" w:ascii="宋体" w:hAnsi="宋体" w:cs="宋体"/>
                <w:color w:val="000000"/>
                <w:spacing w:val="-6"/>
                <w:kern w:val="0"/>
                <w:sz w:val="18"/>
                <w:szCs w:val="18"/>
                <w:highlight w:val="none"/>
              </w:rPr>
              <w:t>预算完成率≥95%的，得9分。</w:t>
            </w:r>
          </w:p>
          <w:p>
            <w:pPr>
              <w:widowControl/>
              <w:spacing w:line="230" w:lineRule="exact"/>
              <w:jc w:val="left"/>
              <w:textAlignment w:val="center"/>
              <w:rPr>
                <w:rFonts w:ascii="宋体" w:hAnsi="宋体" w:cs="宋体"/>
                <w:color w:val="000000"/>
                <w:spacing w:val="-6"/>
                <w:kern w:val="0"/>
                <w:sz w:val="18"/>
                <w:szCs w:val="18"/>
                <w:highlight w:val="none"/>
              </w:rPr>
            </w:pPr>
            <w:r>
              <w:rPr>
                <w:rFonts w:hint="eastAsia" w:ascii="宋体" w:hAnsi="宋体" w:cs="宋体"/>
                <w:color w:val="000000"/>
                <w:spacing w:val="-6"/>
                <w:kern w:val="0"/>
                <w:sz w:val="18"/>
                <w:szCs w:val="18"/>
                <w:highlight w:val="none"/>
              </w:rPr>
              <w:t>预算完成率在90%（含）和95%之间，得8分。</w:t>
            </w:r>
          </w:p>
          <w:p>
            <w:pPr>
              <w:widowControl/>
              <w:spacing w:line="230" w:lineRule="exact"/>
              <w:jc w:val="left"/>
              <w:textAlignment w:val="center"/>
              <w:rPr>
                <w:rFonts w:ascii="宋体" w:hAnsi="宋体" w:cs="宋体"/>
                <w:color w:val="000000"/>
                <w:spacing w:val="-6"/>
                <w:kern w:val="0"/>
                <w:sz w:val="18"/>
                <w:szCs w:val="18"/>
                <w:highlight w:val="none"/>
              </w:rPr>
            </w:pPr>
            <w:r>
              <w:rPr>
                <w:rFonts w:hint="eastAsia" w:ascii="宋体" w:hAnsi="宋体" w:cs="宋体"/>
                <w:color w:val="000000"/>
                <w:spacing w:val="-6"/>
                <w:kern w:val="0"/>
                <w:sz w:val="18"/>
                <w:szCs w:val="18"/>
                <w:highlight w:val="none"/>
              </w:rPr>
              <w:t>预算完成率在85%（含）和90%之间，得7分。</w:t>
            </w:r>
          </w:p>
          <w:p>
            <w:pPr>
              <w:widowControl/>
              <w:spacing w:line="230" w:lineRule="exact"/>
              <w:jc w:val="left"/>
              <w:textAlignment w:val="center"/>
              <w:rPr>
                <w:rFonts w:ascii="宋体" w:hAnsi="宋体" w:cs="宋体"/>
                <w:color w:val="000000"/>
                <w:spacing w:val="-6"/>
                <w:kern w:val="0"/>
                <w:sz w:val="18"/>
                <w:szCs w:val="18"/>
                <w:highlight w:val="none"/>
              </w:rPr>
            </w:pPr>
            <w:r>
              <w:rPr>
                <w:rFonts w:hint="eastAsia" w:ascii="宋体" w:hAnsi="宋体" w:cs="宋体"/>
                <w:color w:val="000000"/>
                <w:spacing w:val="-6"/>
                <w:kern w:val="0"/>
                <w:sz w:val="18"/>
                <w:szCs w:val="18"/>
                <w:highlight w:val="none"/>
              </w:rPr>
              <w:t>预算完成率在80%（含）和85%之间，得6分。</w:t>
            </w:r>
          </w:p>
          <w:p>
            <w:pPr>
              <w:widowControl/>
              <w:spacing w:line="230" w:lineRule="exact"/>
              <w:jc w:val="left"/>
              <w:textAlignment w:val="center"/>
              <w:rPr>
                <w:rFonts w:ascii="宋体" w:hAnsi="宋体" w:cs="宋体"/>
                <w:color w:val="000000"/>
                <w:spacing w:val="-6"/>
                <w:kern w:val="0"/>
                <w:sz w:val="18"/>
                <w:szCs w:val="18"/>
                <w:highlight w:val="none"/>
              </w:rPr>
            </w:pPr>
            <w:r>
              <w:rPr>
                <w:rFonts w:hint="eastAsia" w:ascii="宋体" w:hAnsi="宋体" w:cs="宋体"/>
                <w:color w:val="000000"/>
                <w:spacing w:val="-6"/>
                <w:kern w:val="0"/>
                <w:sz w:val="18"/>
                <w:szCs w:val="18"/>
                <w:highlight w:val="none"/>
              </w:rPr>
              <w:t>预算完成率在70%（含）和80%之间，得4分。</w:t>
            </w:r>
          </w:p>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spacing w:val="-6"/>
                <w:kern w:val="0"/>
                <w:sz w:val="18"/>
                <w:szCs w:val="18"/>
                <w:highlight w:val="none"/>
              </w:rPr>
              <w:t>预算完成率〈70%”的，得0分。</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r>
      <w:tr>
        <w:tblPrEx>
          <w:tblCellMar>
            <w:top w:w="0" w:type="dxa"/>
            <w:left w:w="0" w:type="dxa"/>
            <w:bottom w:w="0" w:type="dxa"/>
            <w:right w:w="0" w:type="dxa"/>
          </w:tblCellMar>
        </w:tblPrEx>
        <w:trPr>
          <w:trHeight w:val="90" w:hRule="atLeast"/>
        </w:trPr>
        <w:tc>
          <w:tcPr>
            <w:tcW w:w="2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9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预算调整率（5分）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5</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预算调整数＝（预算调整数/预算数）×100%，用以反映和考核部门（单位）预算的调整程度。</w:t>
            </w:r>
          </w:p>
          <w:p>
            <w:pPr>
              <w:widowControl/>
              <w:spacing w:line="230" w:lineRule="exact"/>
              <w:jc w:val="left"/>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预算调整数：部门（单位）在本年度内涉及预算的追加、追减或结构调整的资金总和（因落实国家政策、发生不可抗力、上级部门或本级党委政府临时交办而产生的调整除外）。</w:t>
            </w:r>
          </w:p>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预算包括一般公共预算与政府性基金预算。</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预算调整率绝对值≤5%，得5分。</w:t>
            </w:r>
          </w:p>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预算调整绝对值〉5%的，每增加0.1个百分点扣0.1分，扣完为止。</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r>
      <w:tr>
        <w:tblPrEx>
          <w:tblCellMar>
            <w:top w:w="0" w:type="dxa"/>
            <w:left w:w="0" w:type="dxa"/>
            <w:bottom w:w="0" w:type="dxa"/>
            <w:right w:w="0" w:type="dxa"/>
          </w:tblCellMar>
        </w:tblPrEx>
        <w:trPr>
          <w:trHeight w:val="90" w:hRule="atLeast"/>
        </w:trPr>
        <w:tc>
          <w:tcPr>
            <w:tcW w:w="2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投入</w:t>
            </w:r>
          </w:p>
        </w:tc>
        <w:tc>
          <w:tcPr>
            <w:tcW w:w="392"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预算执行（25分）</w:t>
            </w: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支出进度率（5分）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5</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10" w:lineRule="exact"/>
              <w:jc w:val="left"/>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支出进度率＝（实际支出/支出预算）×100%，用以反映和考核部门（单位）预算执行的及时性和均衡性程度。</w:t>
            </w:r>
          </w:p>
          <w:p>
            <w:pPr>
              <w:widowControl/>
              <w:spacing w:line="210" w:lineRule="exact"/>
              <w:jc w:val="left"/>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半年支出进度＝部门上半年实际支出/（上年结余结转+本年部门预算安排+上半年执行中追加追减）*100%。</w:t>
            </w:r>
          </w:p>
          <w:p>
            <w:pPr>
              <w:widowControl/>
              <w:spacing w:line="21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前三季度支出进度＝部门前三季度实际支出/（上年结余结转+本年部门预算安排+前三季度执行中追加追减）*100%。</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半年进度，进度率≥45%，得2分；进度率在40%（含）和45%之间，得1分；进度率〈40%，得0分。</w:t>
            </w:r>
          </w:p>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前三季度进度：进度率≥75%，得3分；进度率在60%（含）和75%之间，得2分；进度率〈60%，得0分。</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r>
      <w:tr>
        <w:tblPrEx>
          <w:tblCellMar>
            <w:top w:w="0" w:type="dxa"/>
            <w:left w:w="0" w:type="dxa"/>
            <w:bottom w:w="0" w:type="dxa"/>
            <w:right w:w="0" w:type="dxa"/>
          </w:tblCellMar>
        </w:tblPrEx>
        <w:trPr>
          <w:trHeight w:val="90" w:hRule="atLeast"/>
        </w:trPr>
        <w:tc>
          <w:tcPr>
            <w:tcW w:w="2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9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预算编制准确率（5分）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5</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部门预算中除财政拨款外的其他收入预算与决算差异率。</w:t>
            </w:r>
          </w:p>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预算编制准确率＝其他收入决算数/其他收入预算数×100%-100%。</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预算编制准确率≤20%，得5分。</w:t>
            </w:r>
          </w:p>
          <w:p>
            <w:pPr>
              <w:widowControl/>
              <w:spacing w:line="230" w:lineRule="exact"/>
              <w:jc w:val="left"/>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预算编制准确率在20%和40%（含）之间，得3分。</w:t>
            </w:r>
          </w:p>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预算编制准确率＞40%，得0分。</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r>
      <w:tr>
        <w:tblPrEx>
          <w:tblCellMar>
            <w:top w:w="0" w:type="dxa"/>
            <w:left w:w="0" w:type="dxa"/>
            <w:bottom w:w="0" w:type="dxa"/>
            <w:right w:w="0" w:type="dxa"/>
          </w:tblCellMar>
        </w:tblPrEx>
        <w:trPr>
          <w:trHeight w:val="90" w:hRule="atLeast"/>
        </w:trPr>
        <w:tc>
          <w:tcPr>
            <w:tcW w:w="2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过程</w:t>
            </w:r>
          </w:p>
        </w:tc>
        <w:tc>
          <w:tcPr>
            <w:tcW w:w="392"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预算管理（15分）</w:t>
            </w: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“三公经费”控制率（5分）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5</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“三公经费”控制率＝（“三公经费”实际支出数/“三公经费”预算安排数×100%，用以反映和考核部门（单位）对“三公经费”的实际控制程度。</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三公经费控制率≤100%，得5分，每增加0.1个百分点扣0.5分，扣完为止。</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r>
      <w:tr>
        <w:tblPrEx>
          <w:tblCellMar>
            <w:top w:w="0" w:type="dxa"/>
            <w:left w:w="0" w:type="dxa"/>
            <w:bottom w:w="0" w:type="dxa"/>
            <w:right w:w="0" w:type="dxa"/>
          </w:tblCellMar>
        </w:tblPrEx>
        <w:trPr>
          <w:trHeight w:val="1622" w:hRule="atLeast"/>
        </w:trPr>
        <w:tc>
          <w:tcPr>
            <w:tcW w:w="2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9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资产管理规范性（5分）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5</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pacing w:val="-11"/>
                <w:kern w:val="0"/>
                <w:sz w:val="18"/>
                <w:szCs w:val="18"/>
                <w:highlight w:val="none"/>
              </w:rPr>
            </w:pPr>
            <w:r>
              <w:rPr>
                <w:rFonts w:hint="eastAsia" w:ascii="宋体" w:hAnsi="宋体" w:cs="宋体"/>
                <w:color w:val="000000"/>
                <w:spacing w:val="-11"/>
                <w:kern w:val="0"/>
                <w:sz w:val="18"/>
                <w:szCs w:val="18"/>
                <w:highlight w:val="none"/>
              </w:rPr>
              <w:t>部门（单位）资产管理是否规范，用以反映和考核部门（单位）资产管理情况。</w:t>
            </w:r>
          </w:p>
          <w:p>
            <w:pPr>
              <w:widowControl/>
              <w:spacing w:line="230" w:lineRule="exact"/>
              <w:jc w:val="left"/>
              <w:textAlignment w:val="center"/>
              <w:rPr>
                <w:rFonts w:ascii="宋体" w:hAnsi="宋体" w:cs="宋体"/>
                <w:color w:val="000000"/>
                <w:spacing w:val="-11"/>
                <w:kern w:val="0"/>
                <w:sz w:val="18"/>
                <w:szCs w:val="18"/>
                <w:highlight w:val="none"/>
              </w:rPr>
            </w:pPr>
            <w:r>
              <w:rPr>
                <w:rFonts w:hint="eastAsia" w:ascii="宋体" w:hAnsi="宋体" w:cs="宋体"/>
                <w:color w:val="000000"/>
                <w:spacing w:val="-11"/>
                <w:kern w:val="0"/>
                <w:sz w:val="18"/>
                <w:szCs w:val="18"/>
                <w:highlight w:val="none"/>
              </w:rPr>
              <w:t>1、新增资产配置按预算执行。</w:t>
            </w:r>
          </w:p>
          <w:p>
            <w:pPr>
              <w:widowControl/>
              <w:spacing w:line="230" w:lineRule="exact"/>
              <w:jc w:val="left"/>
              <w:textAlignment w:val="center"/>
              <w:rPr>
                <w:rFonts w:ascii="宋体" w:hAnsi="宋体" w:cs="宋体"/>
                <w:color w:val="000000"/>
                <w:spacing w:val="-11"/>
                <w:kern w:val="0"/>
                <w:sz w:val="18"/>
                <w:szCs w:val="18"/>
                <w:highlight w:val="none"/>
              </w:rPr>
            </w:pPr>
            <w:r>
              <w:rPr>
                <w:rFonts w:hint="eastAsia" w:ascii="宋体" w:hAnsi="宋体" w:cs="宋体"/>
                <w:color w:val="000000"/>
                <w:spacing w:val="-11"/>
                <w:kern w:val="0"/>
                <w:sz w:val="18"/>
                <w:szCs w:val="18"/>
                <w:highlight w:val="none"/>
              </w:rPr>
              <w:t>2、资产有偿使用、处置按规定程序审批。</w:t>
            </w:r>
          </w:p>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spacing w:val="-11"/>
                <w:kern w:val="0"/>
                <w:sz w:val="18"/>
                <w:szCs w:val="18"/>
                <w:highlight w:val="none"/>
              </w:rPr>
              <w:t>3、资产收益及时、足额上缴财务。</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全部符合5分，有1项不符扣2分，扣完为止。</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r>
      <w:tr>
        <w:tblPrEx>
          <w:tblCellMar>
            <w:top w:w="0" w:type="dxa"/>
            <w:left w:w="0" w:type="dxa"/>
            <w:bottom w:w="0" w:type="dxa"/>
            <w:right w:w="0" w:type="dxa"/>
          </w:tblCellMar>
        </w:tblPrEx>
        <w:trPr>
          <w:trHeight w:val="90" w:hRule="atLeast"/>
        </w:trPr>
        <w:tc>
          <w:tcPr>
            <w:tcW w:w="2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预算管理（15分）</w:t>
            </w: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资金使用合规性（5分）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5</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部门（单位）使用预算资金是否符合相关的预算财务管理制度的规定，用以反映和考核部门（单位）预算资金的规范运行情况。</w:t>
            </w:r>
          </w:p>
          <w:p>
            <w:pPr>
              <w:widowControl/>
              <w:spacing w:line="230" w:lineRule="exact"/>
              <w:jc w:val="left"/>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1、符合国家财经法规和财务管理制度规定以及有关专项资金管理办法的规定；</w:t>
            </w:r>
          </w:p>
          <w:p>
            <w:pPr>
              <w:widowControl/>
              <w:spacing w:line="230" w:lineRule="exact"/>
              <w:jc w:val="left"/>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2、资金的拨付有完整的审批程序和手续；</w:t>
            </w:r>
          </w:p>
          <w:p>
            <w:pPr>
              <w:widowControl/>
              <w:spacing w:line="230" w:lineRule="exact"/>
              <w:jc w:val="left"/>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3、重大项目开支经过评估论证；</w:t>
            </w:r>
          </w:p>
          <w:p>
            <w:pPr>
              <w:widowControl/>
              <w:spacing w:line="230" w:lineRule="exact"/>
              <w:jc w:val="left"/>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4、符合部门预算批复的用途；</w:t>
            </w:r>
          </w:p>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5、不存在截留、挤占、挪用、虚列支出等情况。</w:t>
            </w:r>
          </w:p>
        </w:tc>
        <w:tc>
          <w:tcPr>
            <w:tcW w:w="1908"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全部符合5分，有1项不符扣2分。</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highlight w:val="none"/>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highlight w:val="none"/>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highlight w:val="none"/>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highlight w:val="none"/>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highlight w:val="none"/>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highlight w:val="none"/>
              </w:rPr>
            </w:pPr>
          </w:p>
        </w:tc>
      </w:tr>
      <w:tr>
        <w:tblPrEx>
          <w:tblCellMar>
            <w:top w:w="0" w:type="dxa"/>
            <w:left w:w="0" w:type="dxa"/>
            <w:bottom w:w="0" w:type="dxa"/>
            <w:right w:w="0" w:type="dxa"/>
          </w:tblCellMar>
        </w:tblPrEx>
        <w:trPr>
          <w:trHeight w:val="1083" w:hRule="atLeast"/>
        </w:trPr>
        <w:tc>
          <w:tcPr>
            <w:tcW w:w="29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效果</w:t>
            </w:r>
          </w:p>
        </w:tc>
        <w:tc>
          <w:tcPr>
            <w:tcW w:w="392"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履职尽职（60分）</w:t>
            </w: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项目产出（40分）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40</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rPr>
                <w:rFonts w:ascii="宋体" w:hAnsi="宋体" w:cs="宋体"/>
                <w:color w:val="000000"/>
                <w:sz w:val="18"/>
                <w:szCs w:val="18"/>
                <w:highlight w:val="none"/>
              </w:rPr>
            </w:pPr>
          </w:p>
        </w:tc>
        <w:tc>
          <w:tcPr>
            <w:tcW w:w="1908" w:type="dxa"/>
            <w:gridSpan w:val="3"/>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1、若为定性指标，根据“三档”原则分别按照指标分值的100-80%（含）、80-50%（含）、50-10%来记分；</w:t>
            </w:r>
          </w:p>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2、若为定量指标，完成值达到指标值，记满分；未达到指标值，按完成比率计分，正向指标（即指标值为≥*）得分＝实际完成值/年初目标值*该指标分值，反向指标（即指标值为≤*）得分＝年初目标值/实际完成值*该指标分值。</w:t>
            </w: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highlight w:val="none"/>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highlight w:val="none"/>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highlight w:val="none"/>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highlight w:val="none"/>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highlight w:val="none"/>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highlight w:val="none"/>
              </w:rPr>
            </w:pPr>
          </w:p>
        </w:tc>
      </w:tr>
      <w:tr>
        <w:tblPrEx>
          <w:tblCellMar>
            <w:top w:w="0" w:type="dxa"/>
            <w:left w:w="0" w:type="dxa"/>
            <w:bottom w:w="0" w:type="dxa"/>
            <w:right w:w="0" w:type="dxa"/>
          </w:tblCellMar>
        </w:tblPrEx>
        <w:trPr>
          <w:trHeight w:val="2508" w:hRule="atLeast"/>
        </w:trPr>
        <w:tc>
          <w:tcPr>
            <w:tcW w:w="29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392"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rPr>
                <w:rFonts w:ascii="宋体" w:hAnsi="宋体" w:cs="宋体"/>
                <w:color w:val="000000"/>
                <w:sz w:val="18"/>
                <w:szCs w:val="18"/>
                <w:highlight w:val="none"/>
              </w:rPr>
            </w:pPr>
          </w:p>
        </w:tc>
        <w:tc>
          <w:tcPr>
            <w:tcW w:w="45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项目效益（20分）</w:t>
            </w:r>
          </w:p>
        </w:tc>
        <w:tc>
          <w:tcPr>
            <w:tcW w:w="28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center"/>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20</w:t>
            </w:r>
          </w:p>
        </w:tc>
        <w:tc>
          <w:tcPr>
            <w:tcW w:w="21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rPr>
                <w:rFonts w:ascii="宋体" w:hAnsi="宋体" w:cs="宋体"/>
                <w:color w:val="000000"/>
                <w:sz w:val="18"/>
                <w:szCs w:val="18"/>
                <w:highlight w:val="none"/>
              </w:rPr>
            </w:pPr>
          </w:p>
        </w:tc>
        <w:tc>
          <w:tcPr>
            <w:tcW w:w="1908" w:type="dxa"/>
            <w:gridSpan w:val="3"/>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rPr>
                <w:rFonts w:ascii="宋体" w:hAnsi="宋体" w:cs="宋体"/>
                <w:color w:val="000000"/>
                <w:sz w:val="18"/>
                <w:szCs w:val="18"/>
                <w:highlight w:val="none"/>
              </w:rPr>
            </w:pPr>
          </w:p>
        </w:tc>
        <w:tc>
          <w:tcPr>
            <w:tcW w:w="6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highlight w:val="none"/>
              </w:rPr>
            </w:pPr>
          </w:p>
        </w:tc>
        <w:tc>
          <w:tcPr>
            <w:tcW w:w="3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highlight w:val="none"/>
              </w:rPr>
            </w:pPr>
          </w:p>
        </w:tc>
        <w:tc>
          <w:tcPr>
            <w:tcW w:w="36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highlight w:val="none"/>
              </w:rPr>
            </w:pPr>
          </w:p>
        </w:tc>
        <w:tc>
          <w:tcPr>
            <w:tcW w:w="3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highlight w:val="none"/>
              </w:rPr>
            </w:pPr>
          </w:p>
        </w:tc>
        <w:tc>
          <w:tcPr>
            <w:tcW w:w="85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highlight w:val="none"/>
              </w:rPr>
            </w:pPr>
          </w:p>
        </w:tc>
        <w:tc>
          <w:tcPr>
            <w:tcW w:w="8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rPr>
                <w:rFonts w:ascii="宋体" w:hAnsi="宋体" w:cs="宋体"/>
                <w:color w:val="000000"/>
                <w:sz w:val="18"/>
                <w:szCs w:val="18"/>
                <w:highlight w:val="none"/>
              </w:rPr>
            </w:pPr>
          </w:p>
        </w:tc>
      </w:tr>
      <w:tr>
        <w:tblPrEx>
          <w:tblCellMar>
            <w:top w:w="0" w:type="dxa"/>
            <w:left w:w="0" w:type="dxa"/>
            <w:bottom w:w="0" w:type="dxa"/>
            <w:right w:w="0" w:type="dxa"/>
          </w:tblCellMar>
        </w:tblPrEx>
        <w:trPr>
          <w:trHeight w:val="90" w:hRule="atLeast"/>
        </w:trPr>
        <w:tc>
          <w:tcPr>
            <w:tcW w:w="8840" w:type="dxa"/>
            <w:gridSpan w:val="20"/>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30" w:lineRule="exact"/>
              <w:jc w:val="left"/>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备注：</w:t>
            </w:r>
          </w:p>
          <w:p>
            <w:pPr>
              <w:widowControl/>
              <w:spacing w:line="230" w:lineRule="exact"/>
              <w:jc w:val="left"/>
              <w:textAlignment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1、“项目产出”和“项目效果”直接细化成部门年初绩效目标中的指标，并根据重要程度赋权。</w:t>
            </w:r>
          </w:p>
          <w:p>
            <w:pPr>
              <w:widowControl/>
              <w:spacing w:line="230" w:lineRule="exact"/>
              <w:jc w:val="left"/>
              <w:textAlignment w:val="center"/>
              <w:rPr>
                <w:rFonts w:ascii="宋体" w:hAnsi="宋体" w:cs="宋体"/>
                <w:color w:val="000000"/>
                <w:sz w:val="18"/>
                <w:szCs w:val="18"/>
                <w:highlight w:val="none"/>
              </w:rPr>
            </w:pPr>
            <w:r>
              <w:rPr>
                <w:rFonts w:hint="eastAsia" w:ascii="宋体" w:hAnsi="宋体" w:cs="宋体"/>
                <w:color w:val="000000"/>
                <w:kern w:val="0"/>
                <w:sz w:val="18"/>
                <w:szCs w:val="18"/>
                <w:highlight w:val="none"/>
              </w:rPr>
              <w:t>2、“绩效指标分析”是指参考历史数据、行业标准及绩效目标实际完成情况等相关资料，从“是否与项目密切相关，指标值是否可获取，指标值设置是否合理”等角度，从产出和效果类指标中找出需要改进的指标，并逐项提出次年的编制意见和建议。</w:t>
            </w:r>
          </w:p>
        </w:tc>
      </w:tr>
    </w:tbl>
    <w:p>
      <w:pPr>
        <w:ind w:firstLine="964" w:firstLineChars="300"/>
        <w:rPr>
          <w:rFonts w:ascii="楷体" w:hAnsi="楷体" w:eastAsia="楷体" w:cs="楷体"/>
          <w:b/>
          <w:bCs/>
          <w:sz w:val="32"/>
          <w:szCs w:val="40"/>
          <w:highlight w:val="none"/>
        </w:rPr>
      </w:pPr>
    </w:p>
    <w:p>
      <w:pPr>
        <w:ind w:firstLine="964" w:firstLineChars="300"/>
        <w:rPr>
          <w:rFonts w:ascii="楷体" w:hAnsi="楷体" w:eastAsia="楷体" w:cs="楷体"/>
          <w:b/>
          <w:bCs/>
          <w:sz w:val="32"/>
          <w:szCs w:val="40"/>
          <w:highlight w:val="none"/>
        </w:rPr>
      </w:pPr>
    </w:p>
    <w:p>
      <w:pPr>
        <w:widowControl/>
        <w:numPr>
          <w:ilvl w:val="0"/>
          <w:numId w:val="2"/>
        </w:numPr>
        <w:ind w:firstLine="640" w:firstLineChars="200"/>
        <w:jc w:val="center"/>
        <w:rPr>
          <w:rFonts w:ascii="黑体" w:hAnsi="黑体" w:eastAsia="黑体" w:cs="黑体"/>
          <w:bCs/>
          <w:kern w:val="0"/>
          <w:sz w:val="32"/>
          <w:szCs w:val="32"/>
          <w:highlight w:val="none"/>
        </w:rPr>
      </w:pPr>
      <w:r>
        <w:rPr>
          <w:rFonts w:hint="eastAsia" w:ascii="黑体" w:hAnsi="黑体" w:eastAsia="黑体" w:cs="黑体"/>
          <w:bCs/>
          <w:kern w:val="0"/>
          <w:sz w:val="32"/>
          <w:szCs w:val="32"/>
          <w:highlight w:val="none"/>
        </w:rPr>
        <w:t>专业名词解释</w:t>
      </w:r>
    </w:p>
    <w:p>
      <w:pPr>
        <w:widowControl/>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1、基本支出：指为保障机构正常运转、完成日常工作任务而发生的各项支出。</w:t>
      </w:r>
    </w:p>
    <w:p>
      <w:pPr>
        <w:widowControl/>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2、项目支出：指单位为完成特定的行政工作任务或事业发展目标所发生的各项支出。</w:t>
      </w:r>
    </w:p>
    <w:p>
      <w:pPr>
        <w:widowControl/>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3、“三公”经费：指部门使用一般公共预算财政拨款安排的因公出国（境）费、公务用车购置及运行费和公务接待费支出。</w:t>
      </w:r>
    </w:p>
    <w:p>
      <w:pPr>
        <w:spacing w:line="600" w:lineRule="exact"/>
        <w:ind w:firstLine="640"/>
        <w:rPr>
          <w:rFonts w:ascii="仿宋_GB2312" w:hAnsi="仿宋_GB2312" w:eastAsia="仿宋_GB2312" w:cs="仿宋_GB2312"/>
          <w:kern w:val="0"/>
          <w:sz w:val="32"/>
          <w:szCs w:val="32"/>
          <w:highlight w:val="none"/>
        </w:rPr>
      </w:pPr>
      <w:r>
        <w:rPr>
          <w:rFonts w:ascii="仿宋_GB2312" w:hAnsi="仿宋_GB2312" w:eastAsia="仿宋_GB2312" w:cs="仿宋_GB2312"/>
          <w:kern w:val="0"/>
          <w:sz w:val="32"/>
          <w:szCs w:val="32"/>
          <w:highlight w:val="none"/>
        </w:rPr>
        <w:t>4</w:t>
      </w:r>
      <w:r>
        <w:rPr>
          <w:rFonts w:hint="eastAsia" w:ascii="仿宋_GB2312" w:hAnsi="仿宋_GB2312" w:eastAsia="仿宋_GB2312" w:cs="仿宋_GB2312"/>
          <w:kern w:val="0"/>
          <w:sz w:val="32"/>
          <w:szCs w:val="32"/>
          <w:highlight w:val="none"/>
        </w:rPr>
        <w:t>、机关运行经费：指行政单位和参照公务员法管理的事业单位使用一般公共预算财政拨款支出的日常公用经费。</w:t>
      </w:r>
    </w:p>
    <w:p>
      <w:pPr>
        <w:widowControl/>
        <w:ind w:firstLine="640" w:firstLineChars="200"/>
        <w:rPr>
          <w:rFonts w:ascii="仿宋_GB2312" w:hAnsi="仿宋_GB2312" w:eastAsia="仿宋_GB2312" w:cs="仿宋_GB2312"/>
          <w:kern w:val="0"/>
          <w:sz w:val="32"/>
          <w:szCs w:val="32"/>
          <w:highlight w:val="none"/>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- 2 -</w:t>
                          </w:r>
                          <w:r>
                            <w:rPr>
                              <w:rFonts w:hint="eastAsia"/>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u8OI4AgAAb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7w4jgCAABvBAAADgAAAAAAAAABACAAAAAfAQAAZHJzL2Uyb0RvYy54&#10;bWxQSwUGAAAAAAYABgBZAQAAyQUAAAAA&#10;">
              <v:fill on="f" focussize="0,0"/>
              <v:stroke on="f" weight="0.5pt"/>
              <v:imagedata o:title=""/>
              <o:lock v:ext="edit" aspectratio="f"/>
              <v:textbox inset="0mm,0mm,0mm,0mm" style="mso-fit-shape-to-text:t;">
                <w:txbxContent>
                  <w:p>
                    <w:pPr>
                      <w:pStyle w:val="3"/>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- 2 -</w:t>
                    </w:r>
                    <w:r>
                      <w:rPr>
                        <w:rFonts w:hint="eastAsia"/>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B4A7C7"/>
    <w:multiLevelType w:val="singleLevel"/>
    <w:tmpl w:val="CDB4A7C7"/>
    <w:lvl w:ilvl="0" w:tentative="0">
      <w:start w:val="13"/>
      <w:numFmt w:val="chineseCounting"/>
      <w:suff w:val="nothing"/>
      <w:lvlText w:val="%1、"/>
      <w:lvlJc w:val="left"/>
      <w:rPr>
        <w:rFonts w:hint="eastAsia"/>
      </w:rPr>
    </w:lvl>
  </w:abstractNum>
  <w:abstractNum w:abstractNumId="1">
    <w:nsid w:val="42186A6F"/>
    <w:multiLevelType w:val="singleLevel"/>
    <w:tmpl w:val="42186A6F"/>
    <w:lvl w:ilvl="0" w:tentative="0">
      <w:start w:val="4"/>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4MTY1M2FjNDllMDQ5YmVkYjA4MjAzNzgwMWU5MzMifQ=="/>
  </w:docVars>
  <w:rsids>
    <w:rsidRoot w:val="00172A27"/>
    <w:rsid w:val="000978E7"/>
    <w:rsid w:val="000C598C"/>
    <w:rsid w:val="000D0687"/>
    <w:rsid w:val="00115618"/>
    <w:rsid w:val="001200CD"/>
    <w:rsid w:val="001507EA"/>
    <w:rsid w:val="00172A27"/>
    <w:rsid w:val="001746D5"/>
    <w:rsid w:val="001808C2"/>
    <w:rsid w:val="001926AE"/>
    <w:rsid w:val="00195642"/>
    <w:rsid w:val="001B44D6"/>
    <w:rsid w:val="002258E4"/>
    <w:rsid w:val="00246B69"/>
    <w:rsid w:val="00255575"/>
    <w:rsid w:val="002E790E"/>
    <w:rsid w:val="00342A75"/>
    <w:rsid w:val="0038162C"/>
    <w:rsid w:val="00392DC9"/>
    <w:rsid w:val="003E315E"/>
    <w:rsid w:val="00410337"/>
    <w:rsid w:val="00465CFC"/>
    <w:rsid w:val="004959B7"/>
    <w:rsid w:val="004E2C01"/>
    <w:rsid w:val="004F5DDB"/>
    <w:rsid w:val="005174AC"/>
    <w:rsid w:val="005F7598"/>
    <w:rsid w:val="006F5AD6"/>
    <w:rsid w:val="006F7818"/>
    <w:rsid w:val="00713833"/>
    <w:rsid w:val="00715D7C"/>
    <w:rsid w:val="007460F8"/>
    <w:rsid w:val="00783155"/>
    <w:rsid w:val="007A15D6"/>
    <w:rsid w:val="008254F4"/>
    <w:rsid w:val="0085453D"/>
    <w:rsid w:val="008C756E"/>
    <w:rsid w:val="008E180B"/>
    <w:rsid w:val="008E5A33"/>
    <w:rsid w:val="00942109"/>
    <w:rsid w:val="009A344F"/>
    <w:rsid w:val="009B452A"/>
    <w:rsid w:val="009E6E4C"/>
    <w:rsid w:val="00AE6567"/>
    <w:rsid w:val="00B960C8"/>
    <w:rsid w:val="00BA5169"/>
    <w:rsid w:val="00BB4583"/>
    <w:rsid w:val="00BB686E"/>
    <w:rsid w:val="00BC7AFB"/>
    <w:rsid w:val="00C35E7B"/>
    <w:rsid w:val="00C903C4"/>
    <w:rsid w:val="00C918C8"/>
    <w:rsid w:val="00CA285B"/>
    <w:rsid w:val="00D517B0"/>
    <w:rsid w:val="00DF0B30"/>
    <w:rsid w:val="00E116FC"/>
    <w:rsid w:val="00E1334E"/>
    <w:rsid w:val="00E422F9"/>
    <w:rsid w:val="00E442BE"/>
    <w:rsid w:val="00E71342"/>
    <w:rsid w:val="00F07BBC"/>
    <w:rsid w:val="00F14252"/>
    <w:rsid w:val="00F34D56"/>
    <w:rsid w:val="00F36555"/>
    <w:rsid w:val="00F41C54"/>
    <w:rsid w:val="00F63A62"/>
    <w:rsid w:val="00F72879"/>
    <w:rsid w:val="00F82DE8"/>
    <w:rsid w:val="00FA0B7D"/>
    <w:rsid w:val="00FB629B"/>
    <w:rsid w:val="00FE5146"/>
    <w:rsid w:val="00FF31F1"/>
    <w:rsid w:val="00FF6FD5"/>
    <w:rsid w:val="00FF7DDD"/>
    <w:rsid w:val="01257DDA"/>
    <w:rsid w:val="017F49BE"/>
    <w:rsid w:val="02420DBF"/>
    <w:rsid w:val="02CD757C"/>
    <w:rsid w:val="02F53218"/>
    <w:rsid w:val="03016458"/>
    <w:rsid w:val="036B7A2F"/>
    <w:rsid w:val="03F23405"/>
    <w:rsid w:val="046063D3"/>
    <w:rsid w:val="04AD509D"/>
    <w:rsid w:val="04DC2960"/>
    <w:rsid w:val="05194C10"/>
    <w:rsid w:val="05C3315A"/>
    <w:rsid w:val="05CD1092"/>
    <w:rsid w:val="05EF122C"/>
    <w:rsid w:val="068F1F19"/>
    <w:rsid w:val="08534C69"/>
    <w:rsid w:val="086D1B6C"/>
    <w:rsid w:val="086F56BE"/>
    <w:rsid w:val="08815682"/>
    <w:rsid w:val="090B2132"/>
    <w:rsid w:val="095D5956"/>
    <w:rsid w:val="09BE11B4"/>
    <w:rsid w:val="0A025689"/>
    <w:rsid w:val="0A0A57FB"/>
    <w:rsid w:val="0A247ED7"/>
    <w:rsid w:val="0A431D19"/>
    <w:rsid w:val="0A791381"/>
    <w:rsid w:val="0A9072B7"/>
    <w:rsid w:val="0B823BCE"/>
    <w:rsid w:val="0BF3277C"/>
    <w:rsid w:val="0C741838"/>
    <w:rsid w:val="0CA044D6"/>
    <w:rsid w:val="0CC94826"/>
    <w:rsid w:val="0D0E67D9"/>
    <w:rsid w:val="0D321C3F"/>
    <w:rsid w:val="0E682C65"/>
    <w:rsid w:val="0E8A54E0"/>
    <w:rsid w:val="0F1A694A"/>
    <w:rsid w:val="0FAD2CAA"/>
    <w:rsid w:val="10342128"/>
    <w:rsid w:val="104E6D46"/>
    <w:rsid w:val="10814651"/>
    <w:rsid w:val="112957E7"/>
    <w:rsid w:val="1146606A"/>
    <w:rsid w:val="12824D51"/>
    <w:rsid w:val="12C765D0"/>
    <w:rsid w:val="12E94936"/>
    <w:rsid w:val="136B5C3A"/>
    <w:rsid w:val="136D4B39"/>
    <w:rsid w:val="142C7704"/>
    <w:rsid w:val="14AB7CFC"/>
    <w:rsid w:val="15B65B5B"/>
    <w:rsid w:val="165740FB"/>
    <w:rsid w:val="168F118A"/>
    <w:rsid w:val="169D4B82"/>
    <w:rsid w:val="169F1133"/>
    <w:rsid w:val="17922577"/>
    <w:rsid w:val="180E0310"/>
    <w:rsid w:val="180F5D63"/>
    <w:rsid w:val="1A7B096E"/>
    <w:rsid w:val="1AC800C5"/>
    <w:rsid w:val="1AF1658B"/>
    <w:rsid w:val="1B5C77AB"/>
    <w:rsid w:val="1B701D7A"/>
    <w:rsid w:val="1B7404EB"/>
    <w:rsid w:val="1C205BB0"/>
    <w:rsid w:val="1C674213"/>
    <w:rsid w:val="1D1E569E"/>
    <w:rsid w:val="1D7726D3"/>
    <w:rsid w:val="1E3B51E6"/>
    <w:rsid w:val="1E526959"/>
    <w:rsid w:val="1EBC7BD5"/>
    <w:rsid w:val="1F8F4C45"/>
    <w:rsid w:val="206969D3"/>
    <w:rsid w:val="210D3667"/>
    <w:rsid w:val="21C63505"/>
    <w:rsid w:val="21D35583"/>
    <w:rsid w:val="22A36211"/>
    <w:rsid w:val="22BE676D"/>
    <w:rsid w:val="2322484B"/>
    <w:rsid w:val="234F15B7"/>
    <w:rsid w:val="235169A2"/>
    <w:rsid w:val="23F44E0F"/>
    <w:rsid w:val="24695C48"/>
    <w:rsid w:val="25235262"/>
    <w:rsid w:val="25BC7462"/>
    <w:rsid w:val="26372509"/>
    <w:rsid w:val="26406DE6"/>
    <w:rsid w:val="2752567D"/>
    <w:rsid w:val="279D5FD1"/>
    <w:rsid w:val="27AD77C0"/>
    <w:rsid w:val="287966F2"/>
    <w:rsid w:val="287C1D82"/>
    <w:rsid w:val="28B644AC"/>
    <w:rsid w:val="28C5118C"/>
    <w:rsid w:val="293F2663"/>
    <w:rsid w:val="29400A9D"/>
    <w:rsid w:val="296C55EC"/>
    <w:rsid w:val="298D1A32"/>
    <w:rsid w:val="2A281CCA"/>
    <w:rsid w:val="2B8C0131"/>
    <w:rsid w:val="2BAD31A0"/>
    <w:rsid w:val="2C6A3C86"/>
    <w:rsid w:val="2CB72498"/>
    <w:rsid w:val="2D19039A"/>
    <w:rsid w:val="2D4505BF"/>
    <w:rsid w:val="2D5E3253"/>
    <w:rsid w:val="2D817A49"/>
    <w:rsid w:val="2D844526"/>
    <w:rsid w:val="2DEE0948"/>
    <w:rsid w:val="2E5270F9"/>
    <w:rsid w:val="2F587CA9"/>
    <w:rsid w:val="30411D4F"/>
    <w:rsid w:val="30714421"/>
    <w:rsid w:val="3075429F"/>
    <w:rsid w:val="31304251"/>
    <w:rsid w:val="31A3571E"/>
    <w:rsid w:val="31B17087"/>
    <w:rsid w:val="3216116C"/>
    <w:rsid w:val="321839F7"/>
    <w:rsid w:val="327C2D0E"/>
    <w:rsid w:val="331502A5"/>
    <w:rsid w:val="33225487"/>
    <w:rsid w:val="332D2F86"/>
    <w:rsid w:val="342A1FED"/>
    <w:rsid w:val="347F164B"/>
    <w:rsid w:val="34FC47C0"/>
    <w:rsid w:val="34FE7347"/>
    <w:rsid w:val="35216FE2"/>
    <w:rsid w:val="354607EC"/>
    <w:rsid w:val="35585D62"/>
    <w:rsid w:val="35CB0616"/>
    <w:rsid w:val="362A5F7B"/>
    <w:rsid w:val="364F0CCA"/>
    <w:rsid w:val="365423FD"/>
    <w:rsid w:val="36E961AB"/>
    <w:rsid w:val="37141057"/>
    <w:rsid w:val="372877DA"/>
    <w:rsid w:val="37D52967"/>
    <w:rsid w:val="38A2670A"/>
    <w:rsid w:val="38BE488D"/>
    <w:rsid w:val="39340D74"/>
    <w:rsid w:val="39972358"/>
    <w:rsid w:val="39A77CB4"/>
    <w:rsid w:val="39E43D28"/>
    <w:rsid w:val="3A34761E"/>
    <w:rsid w:val="3A682C70"/>
    <w:rsid w:val="3B85226F"/>
    <w:rsid w:val="3BB07E84"/>
    <w:rsid w:val="3CD70179"/>
    <w:rsid w:val="3DD235BF"/>
    <w:rsid w:val="3DD24991"/>
    <w:rsid w:val="3DE2418D"/>
    <w:rsid w:val="3EC443CD"/>
    <w:rsid w:val="3ED20604"/>
    <w:rsid w:val="3F111687"/>
    <w:rsid w:val="3F320B3A"/>
    <w:rsid w:val="3F5256A8"/>
    <w:rsid w:val="3F760BD6"/>
    <w:rsid w:val="3FB407E0"/>
    <w:rsid w:val="3FD558B7"/>
    <w:rsid w:val="3FF24A11"/>
    <w:rsid w:val="40173DBC"/>
    <w:rsid w:val="405170A3"/>
    <w:rsid w:val="415249EA"/>
    <w:rsid w:val="41564E27"/>
    <w:rsid w:val="416C5E41"/>
    <w:rsid w:val="41A129A6"/>
    <w:rsid w:val="41DE6D8F"/>
    <w:rsid w:val="425902B9"/>
    <w:rsid w:val="43026447"/>
    <w:rsid w:val="43A54067"/>
    <w:rsid w:val="43C91D40"/>
    <w:rsid w:val="44185071"/>
    <w:rsid w:val="446A77C7"/>
    <w:rsid w:val="458F374A"/>
    <w:rsid w:val="465951C3"/>
    <w:rsid w:val="46A4431F"/>
    <w:rsid w:val="46D36C9E"/>
    <w:rsid w:val="46F522FD"/>
    <w:rsid w:val="470B1C8F"/>
    <w:rsid w:val="47133199"/>
    <w:rsid w:val="47532640"/>
    <w:rsid w:val="48612B46"/>
    <w:rsid w:val="49255A89"/>
    <w:rsid w:val="49297D2D"/>
    <w:rsid w:val="493F2FF6"/>
    <w:rsid w:val="49DC6E3E"/>
    <w:rsid w:val="4A45604E"/>
    <w:rsid w:val="4AE445A0"/>
    <w:rsid w:val="4AE750EB"/>
    <w:rsid w:val="4B9B7E24"/>
    <w:rsid w:val="4BA51E49"/>
    <w:rsid w:val="4C2110A0"/>
    <w:rsid w:val="4CC163EF"/>
    <w:rsid w:val="4CCC3CC4"/>
    <w:rsid w:val="4D034DAF"/>
    <w:rsid w:val="4DB1337B"/>
    <w:rsid w:val="4E741F6B"/>
    <w:rsid w:val="4F0F7597"/>
    <w:rsid w:val="501A4192"/>
    <w:rsid w:val="507B6464"/>
    <w:rsid w:val="508669F0"/>
    <w:rsid w:val="50E471E1"/>
    <w:rsid w:val="514209A3"/>
    <w:rsid w:val="514C73FA"/>
    <w:rsid w:val="51A9300B"/>
    <w:rsid w:val="51AD74AC"/>
    <w:rsid w:val="51B03FFD"/>
    <w:rsid w:val="525543A4"/>
    <w:rsid w:val="52BB78A7"/>
    <w:rsid w:val="53DF7F32"/>
    <w:rsid w:val="54287C6C"/>
    <w:rsid w:val="54791C7A"/>
    <w:rsid w:val="54AB74B6"/>
    <w:rsid w:val="55AF5A9E"/>
    <w:rsid w:val="55CE7592"/>
    <w:rsid w:val="566825CC"/>
    <w:rsid w:val="56D97CC2"/>
    <w:rsid w:val="57382FF1"/>
    <w:rsid w:val="57CB2353"/>
    <w:rsid w:val="57CF7BD0"/>
    <w:rsid w:val="57FD26AC"/>
    <w:rsid w:val="58114390"/>
    <w:rsid w:val="585C34F2"/>
    <w:rsid w:val="590A22F2"/>
    <w:rsid w:val="59DA50C6"/>
    <w:rsid w:val="5A1C08F6"/>
    <w:rsid w:val="5A930952"/>
    <w:rsid w:val="5C5057B9"/>
    <w:rsid w:val="5D0B2591"/>
    <w:rsid w:val="5D437D2E"/>
    <w:rsid w:val="5D9B58E5"/>
    <w:rsid w:val="5DD40546"/>
    <w:rsid w:val="5E605BBD"/>
    <w:rsid w:val="5EA031AD"/>
    <w:rsid w:val="5ECC743B"/>
    <w:rsid w:val="5F243FFB"/>
    <w:rsid w:val="5FF339BA"/>
    <w:rsid w:val="603B0596"/>
    <w:rsid w:val="60A20EF4"/>
    <w:rsid w:val="61745FC1"/>
    <w:rsid w:val="61906697"/>
    <w:rsid w:val="61A84491"/>
    <w:rsid w:val="61D81265"/>
    <w:rsid w:val="61EB4DB4"/>
    <w:rsid w:val="61F70201"/>
    <w:rsid w:val="621903F0"/>
    <w:rsid w:val="62AD1066"/>
    <w:rsid w:val="635731F6"/>
    <w:rsid w:val="647C1E48"/>
    <w:rsid w:val="64D86177"/>
    <w:rsid w:val="65AB59DB"/>
    <w:rsid w:val="65DC556A"/>
    <w:rsid w:val="66261EE3"/>
    <w:rsid w:val="66633175"/>
    <w:rsid w:val="666D0124"/>
    <w:rsid w:val="669D0A5F"/>
    <w:rsid w:val="671B1725"/>
    <w:rsid w:val="672B02F1"/>
    <w:rsid w:val="676B143B"/>
    <w:rsid w:val="67721974"/>
    <w:rsid w:val="67DC0A03"/>
    <w:rsid w:val="6901211F"/>
    <w:rsid w:val="69950145"/>
    <w:rsid w:val="6B323762"/>
    <w:rsid w:val="6BAC53E8"/>
    <w:rsid w:val="6E3C7546"/>
    <w:rsid w:val="6F4D43F2"/>
    <w:rsid w:val="6F662168"/>
    <w:rsid w:val="6F7E420A"/>
    <w:rsid w:val="707031E9"/>
    <w:rsid w:val="70BD01A6"/>
    <w:rsid w:val="70CE15AA"/>
    <w:rsid w:val="7127008D"/>
    <w:rsid w:val="716501F1"/>
    <w:rsid w:val="716A7665"/>
    <w:rsid w:val="717B46BE"/>
    <w:rsid w:val="71BC7FA5"/>
    <w:rsid w:val="71E55383"/>
    <w:rsid w:val="725054F3"/>
    <w:rsid w:val="726026CC"/>
    <w:rsid w:val="72944700"/>
    <w:rsid w:val="738C598F"/>
    <w:rsid w:val="73EC1283"/>
    <w:rsid w:val="740526D8"/>
    <w:rsid w:val="7539539D"/>
    <w:rsid w:val="758130CB"/>
    <w:rsid w:val="75B30A0C"/>
    <w:rsid w:val="75C356FC"/>
    <w:rsid w:val="75D2624F"/>
    <w:rsid w:val="764F4F89"/>
    <w:rsid w:val="76686157"/>
    <w:rsid w:val="76D64F73"/>
    <w:rsid w:val="7714445C"/>
    <w:rsid w:val="771A39E8"/>
    <w:rsid w:val="776C1F07"/>
    <w:rsid w:val="778A1405"/>
    <w:rsid w:val="78530F51"/>
    <w:rsid w:val="78E32530"/>
    <w:rsid w:val="79223926"/>
    <w:rsid w:val="797E3F97"/>
    <w:rsid w:val="79D3262E"/>
    <w:rsid w:val="7A6E771C"/>
    <w:rsid w:val="7A797BB3"/>
    <w:rsid w:val="7B2F0E48"/>
    <w:rsid w:val="7BEF058D"/>
    <w:rsid w:val="7C142D60"/>
    <w:rsid w:val="7C315985"/>
    <w:rsid w:val="7C46787A"/>
    <w:rsid w:val="7C5D1D72"/>
    <w:rsid w:val="7C920E09"/>
    <w:rsid w:val="7D3F23E9"/>
    <w:rsid w:val="7E1959C6"/>
    <w:rsid w:val="7E284B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915;&#31639;&#20844;&#24320;%20&#26609;&#29366;&#2227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915;&#31639;&#20844;&#24320;%20&#26609;&#29366;&#2227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915;&#31639;&#20844;&#24320;%20&#26609;&#29366;&#2227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915;&#31639;&#20844;&#24320;%20&#26609;&#29366;&#2227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915;&#31639;&#20844;&#24320;%20&#26609;&#29366;&#2227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915;&#31639;&#20844;&#24320;%20&#26609;&#29366;&#2227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915;&#31639;&#20844;&#24320;%20&#26609;&#2936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人员对比图（单位：人）</a:t>
            </a:r>
            <a:endParaRPr lang="zh-CN" altLang="en-US"/>
          </a:p>
        </c:rich>
      </c:tx>
      <c:layout/>
      <c:overlay val="0"/>
    </c:title>
    <c:autoTitleDeleted val="0"/>
    <c:plotArea>
      <c:layout/>
      <c:barChart>
        <c:barDir val="col"/>
        <c:grouping val="clustered"/>
        <c:varyColors val="0"/>
        <c:ser>
          <c:idx val="0"/>
          <c:order val="0"/>
          <c:tx>
            <c:strRef>
              <c:f>'[决算公开 柱状图.xlsx]人员结构图'!$H$6</c:f>
              <c:strCache>
                <c:ptCount val="1"/>
                <c:pt idx="0">
                  <c:v>编制</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 柱状图.xlsx]人员结构图'!$G$7:$G$9</c:f>
              <c:strCache>
                <c:ptCount val="3"/>
                <c:pt idx="0">
                  <c:v>行政人员</c:v>
                </c:pt>
                <c:pt idx="1">
                  <c:v>事业人员</c:v>
                </c:pt>
                <c:pt idx="2">
                  <c:v>离退休人员</c:v>
                </c:pt>
              </c:strCache>
            </c:strRef>
          </c:cat>
          <c:val>
            <c:numRef>
              <c:f>'[决算公开 柱状图.xlsx]人员结构图'!$H$7:$H$9</c:f>
              <c:numCache>
                <c:formatCode>General</c:formatCode>
                <c:ptCount val="3"/>
                <c:pt idx="0">
                  <c:v>0</c:v>
                </c:pt>
                <c:pt idx="1">
                  <c:v>32</c:v>
                </c:pt>
              </c:numCache>
            </c:numRef>
          </c:val>
        </c:ser>
        <c:ser>
          <c:idx val="1"/>
          <c:order val="1"/>
          <c:tx>
            <c:strRef>
              <c:f>'[决算公开 柱状图.xlsx]人员结构图'!$I$6</c:f>
              <c:strCache>
                <c:ptCount val="1"/>
                <c:pt idx="0">
                  <c:v>实有</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 柱状图.xlsx]人员结构图'!$G$7:$G$9</c:f>
              <c:strCache>
                <c:ptCount val="3"/>
                <c:pt idx="0">
                  <c:v>行政人员</c:v>
                </c:pt>
                <c:pt idx="1">
                  <c:v>事业人员</c:v>
                </c:pt>
                <c:pt idx="2">
                  <c:v>离退休人员</c:v>
                </c:pt>
              </c:strCache>
            </c:strRef>
          </c:cat>
          <c:val>
            <c:numRef>
              <c:f>'[决算公开 柱状图.xlsx]人员结构图'!$I$7:$I$9</c:f>
              <c:numCache>
                <c:formatCode>General</c:formatCode>
                <c:ptCount val="3"/>
                <c:pt idx="0">
                  <c:v>0</c:v>
                </c:pt>
                <c:pt idx="1">
                  <c:v>31</c:v>
                </c:pt>
                <c:pt idx="2">
                  <c:v>8</c:v>
                </c:pt>
              </c:numCache>
            </c:numRef>
          </c:val>
        </c:ser>
        <c:dLbls>
          <c:showLegendKey val="0"/>
          <c:showVal val="1"/>
          <c:showCatName val="0"/>
          <c:showSerName val="0"/>
          <c:showPercent val="0"/>
          <c:showBubbleSize val="0"/>
        </c:dLbls>
        <c:gapWidth val="150"/>
        <c:axId val="51511680"/>
        <c:axId val="51513216"/>
      </c:barChart>
      <c:catAx>
        <c:axId val="5151168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1513216"/>
        <c:crosses val="autoZero"/>
        <c:auto val="1"/>
        <c:lblAlgn val="ctr"/>
        <c:lblOffset val="100"/>
        <c:noMultiLvlLbl val="0"/>
      </c:catAx>
      <c:valAx>
        <c:axId val="51513216"/>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1511680"/>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1" i="0" u="none" strike="noStrike" kern="1200" baseline="0">
                <a:solidFill>
                  <a:schemeClr val="tx1"/>
                </a:solidFill>
                <a:latin typeface="+mn-lt"/>
                <a:ea typeface="+mn-ea"/>
                <a:cs typeface="+mn-cs"/>
              </a:defRPr>
            </a:pPr>
            <a:r>
              <a:rPr lang="zh-CN" altLang="en-US" sz="1600" b="1" i="0" u="none" strike="noStrike" baseline="0" smtClean="0"/>
              <a:t>收入、支出决算总计对比图（单位：万元） </a:t>
            </a:r>
            <a:endParaRPr lang="zh-CN" altLang="en-US" sz="1600"/>
          </a:p>
        </c:rich>
      </c:tx>
      <c:layout>
        <c:manualLayout>
          <c:xMode val="edge"/>
          <c:yMode val="edge"/>
          <c:x val="0.106972222222222"/>
          <c:y val="0"/>
        </c:manualLayout>
      </c:layout>
      <c:overlay val="0"/>
    </c:title>
    <c:autoTitleDeleted val="0"/>
    <c:plotArea>
      <c:layout/>
      <c:barChart>
        <c:barDir val="col"/>
        <c:grouping val="clustered"/>
        <c:varyColors val="0"/>
        <c:ser>
          <c:idx val="0"/>
          <c:order val="0"/>
          <c:tx>
            <c:strRef>
              <c:f>'[决算公开 柱状图.xlsx]文字一到七'!$B$3</c:f>
              <c:strCache>
                <c:ptCount val="1"/>
                <c:pt idx="0">
                  <c:v>总收入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 柱状图.xlsx]文字一到七'!$A$4:$A$5</c:f>
              <c:strCache>
                <c:ptCount val="2"/>
                <c:pt idx="0">
                  <c:v>本年</c:v>
                </c:pt>
                <c:pt idx="1">
                  <c:v>上年</c:v>
                </c:pt>
              </c:strCache>
            </c:strRef>
          </c:cat>
          <c:val>
            <c:numRef>
              <c:f>'[决算公开 柱状图.xlsx]文字一到七'!$B$4:$B$5</c:f>
              <c:numCache>
                <c:formatCode>General</c:formatCode>
                <c:ptCount val="2"/>
                <c:pt idx="0">
                  <c:v>384.94</c:v>
                </c:pt>
                <c:pt idx="1">
                  <c:v>429.65</c:v>
                </c:pt>
              </c:numCache>
            </c:numRef>
          </c:val>
        </c:ser>
        <c:dLbls>
          <c:showLegendKey val="0"/>
          <c:showVal val="1"/>
          <c:showCatName val="0"/>
          <c:showSerName val="0"/>
          <c:showPercent val="0"/>
          <c:showBubbleSize val="0"/>
        </c:dLbls>
        <c:gapWidth val="150"/>
        <c:axId val="51531136"/>
        <c:axId val="135681152"/>
      </c:barChart>
      <c:catAx>
        <c:axId val="5153113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5681152"/>
        <c:crosses val="autoZero"/>
        <c:auto val="1"/>
        <c:lblAlgn val="ctr"/>
        <c:lblOffset val="100"/>
        <c:noMultiLvlLbl val="0"/>
      </c:catAx>
      <c:valAx>
        <c:axId val="135681152"/>
        <c:scaling>
          <c:orientation val="minMax"/>
          <c:min val="10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153113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3467560691191"/>
          <c:y val="0.0325498575498576"/>
        </c:manualLayout>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'[决算公开 柱状图.xlsx]文字一到七'!$B$29</c:f>
              <c:strCache>
                <c:ptCount val="1"/>
                <c:pt idx="0">
                  <c:v>2020年度收入构成（单位：万元） </c:v>
                </c:pt>
              </c:strCache>
            </c:strRef>
          </c:tx>
          <c:explosion val="2"/>
          <c:dPt>
            <c:idx val="0"/>
            <c:bubble3D val="0"/>
            <c:explosion val="0"/>
          </c:dPt>
          <c:dLbls>
            <c:dLbl>
              <c:idx val="0"/>
              <c:layout>
                <c:manualLayout>
                  <c:x val="-0.00858582084368697"/>
                  <c:y val="-0.29376803078559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7980922098569"/>
                      <c:h val="0.192733990147783"/>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'[决算公开 柱状图.xlsx]文字一到七'!$A$30</c:f>
              <c:strCache>
                <c:ptCount val="1"/>
                <c:pt idx="0">
                  <c:v>财政拨款收入</c:v>
                </c:pt>
              </c:strCache>
            </c:strRef>
          </c:cat>
          <c:val>
            <c:numRef>
              <c:f>'[决算公开 柱状图.xlsx]文字一到七'!$B$30</c:f>
              <c:numCache>
                <c:formatCode>#,##0.00</c:formatCode>
                <c:ptCount val="1"/>
                <c:pt idx="0">
                  <c:v>384.75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0637489063867"/>
          <c:y val="0.0138888888888889"/>
        </c:manualLayout>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'[决算公开 柱状图.xlsx]文字一到七'!$B$56</c:f>
              <c:strCache>
                <c:ptCount val="1"/>
                <c:pt idx="0">
                  <c:v>2020年度支出构成（单位：万元） </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'[决算公开 柱状图.xlsx]文字一到七'!$A$57:$A$58</c:f>
              <c:strCache>
                <c:ptCount val="2"/>
                <c:pt idx="0">
                  <c:v>基本支出</c:v>
                </c:pt>
                <c:pt idx="1">
                  <c:v>项目支出</c:v>
                </c:pt>
              </c:strCache>
            </c:strRef>
          </c:cat>
          <c:val>
            <c:numRef>
              <c:f>'[决算公开 柱状图.xlsx]文字一到七'!$B$57:$B$58</c:f>
              <c:numCache>
                <c:formatCode>General</c:formatCode>
                <c:ptCount val="2"/>
                <c:pt idx="0">
                  <c:v>308.86</c:v>
                </c:pt>
                <c:pt idx="1" c:formatCode="#,##0.00">
                  <c:v>75.19</c:v>
                </c:pt>
              </c:numCache>
            </c:numRef>
          </c:val>
        </c:ser>
        <c:dLbls>
          <c:showLegendKey val="0"/>
          <c:showVal val="1"/>
          <c:showCatName val="1"/>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zh-CN" altLang="zh-CN" sz="1400" b="1" i="0" baseline="0"/>
              <a:t>财政拨款收入、支出总计对比图（单位：万元）</a:t>
            </a:r>
            <a:endParaRPr lang="zh-CN" altLang="zh-CN" sz="1400"/>
          </a:p>
        </c:rich>
      </c:tx>
      <c:layout>
        <c:manualLayout>
          <c:xMode val="edge"/>
          <c:yMode val="edge"/>
          <c:x val="0.0784598197411541"/>
          <c:y val="0.0068259385665529"/>
        </c:manualLayout>
      </c:layout>
      <c:overlay val="0"/>
    </c:title>
    <c:autoTitleDeleted val="0"/>
    <c:plotArea>
      <c:layout>
        <c:manualLayout>
          <c:layoutTarget val="inner"/>
          <c:xMode val="edge"/>
          <c:yMode val="edge"/>
          <c:x val="0.0779288025889968"/>
          <c:y val="0.173015873015873"/>
          <c:w val="0.895533980582524"/>
          <c:h val="0.596371882086168"/>
        </c:manualLayout>
      </c:layout>
      <c:barChart>
        <c:barDir val="col"/>
        <c:grouping val="clustered"/>
        <c:varyColors val="0"/>
        <c:ser>
          <c:idx val="0"/>
          <c:order val="0"/>
          <c:tx>
            <c:strRef>
              <c:f>'[决算公开 柱状图.xlsx]改'!$A$42</c:f>
              <c:strCache>
                <c:ptCount val="1"/>
                <c:pt idx="0">
                  <c:v>2020年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 柱状图.xlsx]改'!$B$41:$C$41</c:f>
              <c:strCache>
                <c:ptCount val="2"/>
                <c:pt idx="0">
                  <c:v>财政拨款收入</c:v>
                </c:pt>
                <c:pt idx="1">
                  <c:v>财政拨款支出</c:v>
                </c:pt>
              </c:strCache>
            </c:strRef>
          </c:cat>
          <c:val>
            <c:numRef>
              <c:f>'[决算公开 柱状图.xlsx]改'!$B$42:$C$42</c:f>
              <c:numCache>
                <c:formatCode>General</c:formatCode>
                <c:ptCount val="2"/>
                <c:pt idx="0">
                  <c:v>384.94</c:v>
                </c:pt>
                <c:pt idx="1">
                  <c:v>384.94</c:v>
                </c:pt>
              </c:numCache>
            </c:numRef>
          </c:val>
        </c:ser>
        <c:ser>
          <c:idx val="1"/>
          <c:order val="1"/>
          <c:tx>
            <c:strRef>
              <c:f>'[决算公开 柱状图.xlsx]改'!$A$43</c:f>
              <c:strCache>
                <c:ptCount val="1"/>
                <c:pt idx="0">
                  <c:v>2019年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 柱状图.xlsx]改'!$B$41:$C$41</c:f>
              <c:strCache>
                <c:ptCount val="2"/>
                <c:pt idx="0">
                  <c:v>财政拨款收入</c:v>
                </c:pt>
                <c:pt idx="1">
                  <c:v>财政拨款支出</c:v>
                </c:pt>
              </c:strCache>
            </c:strRef>
          </c:cat>
          <c:val>
            <c:numRef>
              <c:f>'[决算公开 柱状图.xlsx]改'!$B$43:$C$43</c:f>
              <c:numCache>
                <c:formatCode>0.00</c:formatCode>
                <c:ptCount val="2"/>
                <c:pt idx="0">
                  <c:v>429.65</c:v>
                </c:pt>
                <c:pt idx="1">
                  <c:v>429.65</c:v>
                </c:pt>
              </c:numCache>
            </c:numRef>
          </c:val>
        </c:ser>
        <c:dLbls>
          <c:showLegendKey val="0"/>
          <c:showVal val="1"/>
          <c:showCatName val="0"/>
          <c:showSerName val="0"/>
          <c:showPercent val="0"/>
          <c:showBubbleSize val="0"/>
        </c:dLbls>
        <c:gapWidth val="75"/>
        <c:axId val="136540928"/>
        <c:axId val="136542464"/>
      </c:barChart>
      <c:catAx>
        <c:axId val="136540928"/>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6542464"/>
        <c:crosses val="autoZero"/>
        <c:auto val="1"/>
        <c:lblAlgn val="ctr"/>
        <c:lblOffset val="100"/>
        <c:noMultiLvlLbl val="0"/>
      </c:catAx>
      <c:valAx>
        <c:axId val="136542464"/>
        <c:scaling>
          <c:orientation val="minMax"/>
          <c:min val="100"/>
        </c:scaling>
        <c:delete val="0"/>
        <c:axPos val="l"/>
        <c:majorGridlines/>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6540928"/>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080" b="1" i="0" u="none" strike="noStrike" kern="1200" baseline="0">
                <a:solidFill>
                  <a:schemeClr val="tx1"/>
                </a:solidFill>
                <a:latin typeface="+mn-lt"/>
                <a:ea typeface="+mn-ea"/>
                <a:cs typeface="+mn-cs"/>
              </a:defRPr>
            </a:pPr>
            <a:r>
              <a:rPr lang="zh-CN" altLang="en-US" sz="1080"/>
              <a:t>一般公共预算财政拨款支出对比图（单位：万元）</a:t>
            </a:r>
            <a:endParaRPr lang="zh-CN" altLang="en-US" sz="1080"/>
          </a:p>
        </c:rich>
      </c:tx>
      <c:layout/>
      <c:overlay val="0"/>
    </c:title>
    <c:autoTitleDeleted val="0"/>
    <c:plotArea>
      <c:layout/>
      <c:barChart>
        <c:barDir val="col"/>
        <c:grouping val="clustered"/>
        <c:varyColors val="0"/>
        <c:ser>
          <c:idx val="0"/>
          <c:order val="0"/>
          <c:tx>
            <c:strRef>
              <c:f>'[决算公开 柱状图.xlsx]改'!$B$63</c:f>
              <c:strCache>
                <c:ptCount val="1"/>
                <c:pt idx="0">
                  <c:v>一般公共预算财政拨款支出对比图（单位：万元）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 柱状图.xlsx]改'!$A$64:$A$65</c:f>
              <c:strCache>
                <c:ptCount val="2"/>
                <c:pt idx="0">
                  <c:v>本年财政拨款支出</c:v>
                </c:pt>
                <c:pt idx="1">
                  <c:v>上年财政拨款支出</c:v>
                </c:pt>
              </c:strCache>
            </c:strRef>
          </c:cat>
          <c:val>
            <c:numRef>
              <c:f>'[决算公开 柱状图.xlsx]改'!$B$64:$B$65</c:f>
              <c:numCache>
                <c:formatCode>General</c:formatCode>
                <c:ptCount val="2"/>
                <c:pt idx="0">
                  <c:v>384.05</c:v>
                </c:pt>
                <c:pt idx="1" c:formatCode="#,##0.00">
                  <c:v>429.47</c:v>
                </c:pt>
              </c:numCache>
            </c:numRef>
          </c:val>
        </c:ser>
        <c:ser>
          <c:idx val="1"/>
          <c:order val="1"/>
          <c:tx>
            <c:strRef>
              <c:f>'[决算公开 柱状图.xlsx]改'!$C$63</c:f>
              <c:strCache>
                <c:ptCount val="1"/>
                <c:pt idx="0">
                  <c:v/>
                </c:pt>
              </c:strCache>
            </c:strRef>
          </c:tx>
          <c:invertIfNegative val="0"/>
          <c:dLbls>
            <c:delete val="1"/>
          </c:dLbls>
          <c:cat>
            <c:strRef>
              <c:f>'[决算公开 柱状图.xlsx]改'!$A$64:$A$65</c:f>
              <c:strCache>
                <c:ptCount val="2"/>
                <c:pt idx="0">
                  <c:v>本年财政拨款支出</c:v>
                </c:pt>
                <c:pt idx="1">
                  <c:v>上年财政拨款支出</c:v>
                </c:pt>
              </c:strCache>
            </c:strRef>
          </c:cat>
          <c:val>
            <c:numRef>
              <c:f>'[决算公开 柱状图.xlsx]改'!$C$64:$C$65</c:f>
              <c:numCache>
                <c:formatCode>General</c:formatCode>
                <c:ptCount val="2"/>
              </c:numCache>
            </c:numRef>
          </c:val>
        </c:ser>
        <c:dLbls>
          <c:showLegendKey val="0"/>
          <c:showVal val="0"/>
          <c:showCatName val="0"/>
          <c:showSerName val="0"/>
          <c:showPercent val="0"/>
          <c:showBubbleSize val="0"/>
        </c:dLbls>
        <c:gapWidth val="150"/>
        <c:axId val="136668288"/>
        <c:axId val="136669824"/>
      </c:barChart>
      <c:catAx>
        <c:axId val="136668288"/>
        <c:scaling>
          <c:orientation val="minMax"/>
        </c:scaling>
        <c:delete val="0"/>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136669824"/>
        <c:crosses val="autoZero"/>
        <c:auto val="1"/>
        <c:lblAlgn val="ctr"/>
        <c:lblOffset val="100"/>
        <c:noMultiLvlLbl val="0"/>
      </c:catAx>
      <c:valAx>
        <c:axId val="136669824"/>
        <c:scaling>
          <c:orientation val="minMax"/>
          <c:min val="5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136668288"/>
        <c:crosses val="autoZero"/>
        <c:crossBetween val="between"/>
      </c:valAx>
    </c:plotArea>
    <c:plotVisOnly val="1"/>
    <c:dispBlanksAs val="gap"/>
    <c:showDLblsOverMax val="0"/>
  </c:chart>
  <c:txPr>
    <a:bodyPr/>
    <a:lstStyle/>
    <a:p>
      <a:pPr>
        <a:defRPr lang="zh-CN" sz="900"/>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baseline="0">
                <a:solidFill>
                  <a:schemeClr val="tx1"/>
                </a:solidFill>
                <a:latin typeface="+mn-lt"/>
                <a:ea typeface="+mn-ea"/>
                <a:cs typeface="+mn-cs"/>
              </a:defRPr>
            </a:pPr>
            <a:r>
              <a:rPr lang="zh-CN" altLang="en-US" sz="1400"/>
              <a:t>政府功能分类科目决算支出数（单位：万元）</a:t>
            </a:r>
            <a:endParaRPr lang="zh-CN" altLang="en-US" sz="1400"/>
          </a:p>
        </c:rich>
      </c:tx>
      <c:layout>
        <c:manualLayout>
          <c:xMode val="edge"/>
          <c:yMode val="edge"/>
          <c:x val="0.124070917252321"/>
          <c:y val="0.00634249471458774"/>
        </c:manualLayout>
      </c:layout>
      <c:overlay val="0"/>
    </c:title>
    <c:autoTitleDeleted val="0"/>
    <c:plotArea>
      <c:layout/>
      <c:pieChart>
        <c:varyColors val="1"/>
        <c:ser>
          <c:idx val="0"/>
          <c:order val="0"/>
          <c:tx>
            <c:strRef>
              <c:f>'[决算公开 柱状图.xlsx]文字一到七'!$D$142</c:f>
              <c:strCache>
                <c:ptCount val="1"/>
                <c:pt idx="0">
                  <c:v>决算</c:v>
                </c:pt>
              </c:strCache>
            </c:strRef>
          </c:tx>
          <c:explosion val="0"/>
          <c:dPt>
            <c:idx val="0"/>
            <c:bubble3D val="0"/>
          </c:dPt>
          <c:dPt>
            <c:idx val="1"/>
            <c:bubble3D val="0"/>
          </c:dPt>
          <c:dPt>
            <c:idx val="2"/>
            <c:bubble3D val="0"/>
          </c:dPt>
          <c:dLbls>
            <c:dLbl>
              <c:idx val="1"/>
              <c:layout>
                <c:manualLayout>
                  <c:x val="-0.147141201803135"/>
                  <c:y val="0.077410813948935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42682198176267"/>
                  <c:y val="0.058438997042544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165733197556008"/>
                      <c:h val="0.16553911205074"/>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multiLvlStrRef>
              <c:f>'[决算公开 柱状图.xlsx]文字一到七'!$B$143:$C$145</c:f>
              <c:multiLvlStrCache>
                <c:ptCount val="3"/>
                <c:lvl>
                  <c:pt idx="0">
                    <c:v>  应急救援</c:v>
                  </c:pt>
                  <c:pt idx="1">
                    <c:v>  应急管理</c:v>
                  </c:pt>
                  <c:pt idx="2">
                    <c:v>  其他应急管理支出</c:v>
                  </c:pt>
                </c:lvl>
                <c:lvl>
                  <c:pt idx="0">
                    <c:v>2240108</c:v>
                  </c:pt>
                  <c:pt idx="1">
                    <c:v>2240109</c:v>
                  </c:pt>
                  <c:pt idx="2">
                    <c:v>2240199</c:v>
                  </c:pt>
                </c:lvl>
              </c:multiLvlStrCache>
            </c:multiLvlStrRef>
          </c:cat>
          <c:val>
            <c:numRef>
              <c:f>'[决算公开 柱状图.xlsx]文字一到七'!$D$143:$D$145</c:f>
              <c:numCache>
                <c:formatCode>#,##0.00</c:formatCode>
                <c:ptCount val="3"/>
                <c:pt idx="0">
                  <c:v>375.84</c:v>
                </c:pt>
                <c:pt idx="1">
                  <c:v>3.21</c:v>
                </c:pt>
                <c:pt idx="2">
                  <c:v>5</c:v>
                </c:pt>
              </c:numCache>
            </c:numRef>
          </c:val>
        </c:ser>
        <c:dLbls>
          <c:showLegendKey val="0"/>
          <c:showVal val="1"/>
          <c:showCatName val="1"/>
          <c:showSerName val="0"/>
          <c:showPercent val="0"/>
          <c:showBubbleSize val="0"/>
          <c:showLeaderLines val="1"/>
        </c:dLbls>
        <c:firstSliceAng val="0"/>
      </c:pieChart>
    </c:plotArea>
    <c:legend>
      <c:legendPos val="r"/>
      <c:layout>
        <c:manualLayout>
          <c:xMode val="edge"/>
          <c:yMode val="edge"/>
          <c:x val="0.756464144694943"/>
          <c:y val="0.300529100529101"/>
          <c:w val="0.228251178193861"/>
          <c:h val="0.60719576719576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5127</Words>
  <Characters>5551</Characters>
  <Lines>32</Lines>
  <Paragraphs>9</Paragraphs>
  <TotalTime>15</TotalTime>
  <ScaleCrop>false</ScaleCrop>
  <LinksUpToDate>false</LinksUpToDate>
  <CharactersWithSpaces>5608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2022-09-17T06:20:00Z</dcterms:created>
  <dc:creator>Lenovo</dc:creator>
  <cp:lastModifiedBy>小</cp:lastModifiedBy>
  <cp:lastPrinted>2021-09-24T01:23:00Z</cp:lastPrinted>
  <dcterms:modified xsi:type="dcterms:W3CDTF">2022-09-18T07:16:36Z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FF3B12D96E1E42328241EEC2679BDCCF</vt:lpwstr>
  </property>
</Properties>
</file>