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商医保发</w:t>
      </w:r>
      <w:r>
        <w:rPr>
          <w:rFonts w:hint="eastAsia" w:ascii="宋体" w:hAnsi="宋体" w:eastAsia="宋体" w:cs="宋体"/>
          <w:sz w:val="30"/>
          <w:szCs w:val="30"/>
        </w:rPr>
        <w:t>〔</w:t>
      </w:r>
      <w:r>
        <w:rPr>
          <w:rFonts w:hint="eastAsia" w:ascii="仿宋" w:hAnsi="仿宋" w:eastAsia="仿宋" w:cs="仿宋"/>
          <w:sz w:val="30"/>
          <w:szCs w:val="30"/>
        </w:rPr>
        <w:t>2022</w:t>
      </w:r>
      <w:r>
        <w:rPr>
          <w:rFonts w:hint="eastAsia" w:ascii="宋体" w:hAnsi="宋体" w:eastAsia="宋体" w:cs="宋体"/>
          <w:sz w:val="30"/>
          <w:szCs w:val="30"/>
        </w:rPr>
        <w:t>〕</w:t>
      </w:r>
      <w:r>
        <w:rPr>
          <w:rFonts w:hint="eastAsia" w:ascii="宋体" w:hAnsi="宋体" w:cs="宋体"/>
          <w:sz w:val="30"/>
          <w:szCs w:val="30"/>
          <w:lang w:val="en-US" w:eastAsia="zh-CN"/>
        </w:rPr>
        <w:t>9</w:t>
      </w:r>
      <w:r>
        <w:rPr>
          <w:rFonts w:hint="eastAsia" w:ascii="仿宋" w:hAnsi="仿宋" w:eastAsia="仿宋" w:cs="仿宋"/>
          <w:sz w:val="30"/>
          <w:szCs w:val="30"/>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商洛市医疗保障局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关于调整终末期肾脏病透析医保按病种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结算政策的通知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各县(区)医疗保障局、商洛高新区（商丹园区）社区管理局，市医疗保险经办处，相关定点医疗机构: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为进一步贯彻落实国家医疗保障信息业务编码标准化建设工作要求，规范我市肾透析患者报销政策，不断提高保障水平，切实减轻肾脏病患者医疗费用负担，市局党组会研究</w:t>
      </w:r>
      <w:r>
        <w:rPr>
          <w:rFonts w:hint="eastAsia" w:ascii="仿宋" w:hAnsi="仿宋" w:eastAsia="仿宋" w:cs="仿宋"/>
          <w:sz w:val="32"/>
          <w:szCs w:val="32"/>
          <w:lang w:val="en-US" w:eastAsia="zh-CN"/>
        </w:rPr>
        <w:t>并报请省局复函同意，</w:t>
      </w:r>
      <w:r>
        <w:rPr>
          <w:rFonts w:hint="eastAsia" w:ascii="仿宋" w:hAnsi="仿宋" w:eastAsia="仿宋" w:cs="仿宋"/>
          <w:sz w:val="32"/>
          <w:szCs w:val="32"/>
        </w:rPr>
        <w:t>决定对终末期肾脏病透析医保按病种结算政策适度调整。现通知如下：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s="Calibri"/>
          <w:b w:val="0"/>
          <w:bCs/>
          <w:sz w:val="32"/>
          <w:szCs w:val="32"/>
        </w:rPr>
      </w:pPr>
      <w:r>
        <w:rPr>
          <w:rFonts w:hint="eastAsia" w:ascii="黑体" w:hAnsi="黑体" w:eastAsia="黑体" w:cs="黑体"/>
          <w:b w:val="0"/>
          <w:bCs/>
          <w:sz w:val="32"/>
          <w:szCs w:val="32"/>
        </w:rPr>
        <w:t>一、基本政策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Times New Roman"/>
          <w:sz w:val="32"/>
          <w:szCs w:val="32"/>
          <w:lang w:eastAsia="zh-CN"/>
        </w:rPr>
      </w:pPr>
      <w:r>
        <w:rPr>
          <w:rFonts w:hint="eastAsia" w:ascii="仿宋" w:hAnsi="仿宋" w:eastAsia="仿宋" w:cs="仿宋"/>
          <w:sz w:val="32"/>
          <w:szCs w:val="32"/>
        </w:rPr>
        <w:t>终末期肾脏病透析</w:t>
      </w:r>
      <w:r>
        <w:rPr>
          <w:rFonts w:hint="eastAsia" w:ascii="仿宋" w:hAnsi="仿宋" w:eastAsia="仿宋" w:cs="仿宋"/>
          <w:sz w:val="32"/>
          <w:szCs w:val="32"/>
          <w:lang w:val="en-US" w:eastAsia="zh-CN"/>
        </w:rPr>
        <w:t>参保</w:t>
      </w:r>
      <w:r>
        <w:rPr>
          <w:rFonts w:hint="eastAsia" w:ascii="仿宋" w:hAnsi="仿宋" w:eastAsia="仿宋" w:cs="仿宋"/>
          <w:sz w:val="32"/>
          <w:szCs w:val="32"/>
        </w:rPr>
        <w:t>患者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一年内</w:t>
      </w:r>
      <w:r>
        <w:rPr>
          <w:rFonts w:hint="eastAsia" w:ascii="仿宋" w:hAnsi="仿宋" w:eastAsia="仿宋" w:cs="仿宋"/>
          <w:sz w:val="32"/>
          <w:szCs w:val="32"/>
        </w:rPr>
        <w:t>自主选择定点医疗机构</w:t>
      </w:r>
      <w:r>
        <w:rPr>
          <w:rFonts w:hint="eastAsia" w:ascii="仿宋" w:hAnsi="仿宋" w:eastAsia="仿宋" w:cs="仿宋"/>
          <w:sz w:val="32"/>
          <w:szCs w:val="32"/>
          <w:lang w:val="en-US" w:eastAsia="zh-CN"/>
        </w:rPr>
        <w:t>后</w:t>
      </w:r>
      <w:r>
        <w:rPr>
          <w:rFonts w:hint="eastAsia" w:ascii="仿宋" w:hAnsi="仿宋" w:eastAsia="仿宋" w:cs="仿宋"/>
          <w:sz w:val="32"/>
          <w:szCs w:val="32"/>
        </w:rPr>
        <w:t>，实行申报备案、定点治疗、签约服务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结算费用的管理模式</w:t>
      </w:r>
      <w:r>
        <w:rPr>
          <w:rFonts w:hint="eastAsia" w:ascii="仿宋" w:hAnsi="仿宋" w:eastAsia="仿宋" w:cs="仿宋"/>
          <w:sz w:val="32"/>
          <w:szCs w:val="32"/>
        </w:rPr>
        <w:t>，年度内不得更换</w:t>
      </w:r>
      <w:r>
        <w:rPr>
          <w:rFonts w:hint="eastAsia" w:ascii="仿宋" w:hAnsi="仿宋" w:eastAsia="仿宋" w:cs="仿宋"/>
          <w:sz w:val="32"/>
          <w:szCs w:val="32"/>
          <w:lang w:val="en-US" w:eastAsia="zh-CN"/>
        </w:rPr>
        <w:t>定点</w:t>
      </w:r>
      <w:r>
        <w:rPr>
          <w:rFonts w:hint="eastAsia" w:ascii="仿宋" w:hAnsi="仿宋" w:eastAsia="仿宋" w:cs="仿宋"/>
          <w:sz w:val="32"/>
          <w:szCs w:val="32"/>
        </w:rPr>
        <w:t>。住院门诊统一政策、不设起付标准，限量限额管理、按次计费、即时结算，或即时录入系统逐月结算。基本医保统筹基金以费用限额为基数，按固定比例定额支付，结余留用、超支不补。患者在费用限额内以实际产生的医疗费用为基数，按固定比例据实自付；实际费用超过费用限额的，以费用限额为基数，按固定比例自付；超过限量及费用限额的费用，医保统筹基金不予支付。结算时患者只支付个人自付及自费部分的费用，医保统筹基金支付部分由定点医疗机构按月</w:t>
      </w:r>
      <w:r>
        <w:rPr>
          <w:rFonts w:hint="eastAsia" w:ascii="仿宋" w:hAnsi="仿宋" w:eastAsia="仿宋" w:cs="仿宋"/>
          <w:sz w:val="32"/>
          <w:szCs w:val="32"/>
          <w:lang w:val="en-US" w:eastAsia="zh-CN"/>
        </w:rPr>
        <w:t>向</w:t>
      </w:r>
      <w:r>
        <w:rPr>
          <w:rFonts w:hint="eastAsia" w:ascii="仿宋" w:hAnsi="仿宋" w:eastAsia="仿宋" w:cs="仿宋"/>
          <w:sz w:val="32"/>
          <w:szCs w:val="32"/>
        </w:rPr>
        <w:t>医保经办机构</w:t>
      </w:r>
      <w:r>
        <w:rPr>
          <w:rFonts w:hint="eastAsia" w:ascii="仿宋" w:hAnsi="仿宋" w:eastAsia="仿宋" w:cs="仿宋"/>
          <w:sz w:val="32"/>
          <w:szCs w:val="32"/>
          <w:lang w:val="en-US" w:eastAsia="zh-CN"/>
        </w:rPr>
        <w:t>申报、对账</w:t>
      </w:r>
      <w:r>
        <w:rPr>
          <w:rFonts w:hint="eastAsia" w:ascii="仿宋" w:hAnsi="仿宋" w:eastAsia="仿宋" w:cs="仿宋"/>
          <w:sz w:val="32"/>
          <w:szCs w:val="32"/>
        </w:rPr>
        <w:t>结算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二、费用限额及支付办法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城乡居民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89"/>
        <w:gridCol w:w="951"/>
        <w:gridCol w:w="1067"/>
        <w:gridCol w:w="804"/>
        <w:gridCol w:w="1202"/>
        <w:gridCol w:w="169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序号</w:t>
            </w:r>
          </w:p>
        </w:tc>
        <w:tc>
          <w:tcPr>
            <w:tcW w:w="7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病种名称</w:t>
            </w:r>
          </w:p>
        </w:tc>
        <w:tc>
          <w:tcPr>
            <w:tcW w:w="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int="eastAsia" w:ascii="宋体" w:hAnsi="宋体" w:cs="Times New Roman"/>
                <w:b/>
                <w:bCs/>
                <w:kern w:val="0"/>
                <w:sz w:val="20"/>
                <w:szCs w:val="20"/>
              </w:rPr>
            </w:pPr>
            <w:r>
              <w:rPr>
                <w:rFonts w:hint="eastAsia" w:ascii="宋体" w:hAnsi="宋体" w:cs="Times New Roman"/>
                <w:b/>
                <w:bCs/>
                <w:kern w:val="0"/>
                <w:sz w:val="20"/>
                <w:szCs w:val="20"/>
              </w:rPr>
              <w:t>病种</w:t>
            </w:r>
          </w:p>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代码</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治疗方式</w:t>
            </w: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hint="eastAsia" w:ascii="宋体" w:hAnsi="宋体" w:cs="Times New Roman"/>
                <w:b/>
                <w:bCs/>
                <w:kern w:val="0"/>
                <w:sz w:val="20"/>
                <w:szCs w:val="20"/>
              </w:rPr>
            </w:pPr>
            <w:r>
              <w:rPr>
                <w:rFonts w:hint="eastAsia" w:ascii="宋体" w:hAnsi="宋体" w:cs="Times New Roman"/>
                <w:b/>
                <w:bCs/>
                <w:kern w:val="0"/>
                <w:sz w:val="20"/>
                <w:szCs w:val="20"/>
              </w:rPr>
              <w:t>医院</w:t>
            </w:r>
          </w:p>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等级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费用限额</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基本医保统筹基金定额支付（元/次）</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患者在限额内按比例据实自付（元/次）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1</w:t>
            </w:r>
          </w:p>
        </w:tc>
        <w:tc>
          <w:tcPr>
            <w:tcW w:w="789"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体外透析</w:t>
            </w:r>
          </w:p>
        </w:tc>
        <w:tc>
          <w:tcPr>
            <w:tcW w:w="95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BZ49101</w:t>
            </w:r>
          </w:p>
        </w:tc>
        <w:tc>
          <w:tcPr>
            <w:tcW w:w="106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血液透析</w:t>
            </w: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三级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500元/次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75%即375</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25%即≤125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106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二级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480元/次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80%即384</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20%即≤96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w:t>
            </w: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BZ49103</w:t>
            </w:r>
          </w:p>
        </w:tc>
        <w:tc>
          <w:tcPr>
            <w:tcW w:w="106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血液滤过</w:t>
            </w: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三级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870元/次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75%即652.5</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25%即≤217.5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106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二级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770元/次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80%即616</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20%即≤154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3</w:t>
            </w: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BZ49102</w:t>
            </w:r>
          </w:p>
        </w:tc>
        <w:tc>
          <w:tcPr>
            <w:tcW w:w="106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血液灌流</w:t>
            </w: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三级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1380元/次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75%即1035</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25%即≤345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106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二级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1260元/次</w:t>
            </w:r>
          </w:p>
        </w:tc>
        <w:tc>
          <w:tcPr>
            <w:tcW w:w="169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80%即1008</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20%即≤252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4</w:t>
            </w:r>
          </w:p>
        </w:tc>
        <w:tc>
          <w:tcPr>
            <w:tcW w:w="7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其他透析</w:t>
            </w:r>
          </w:p>
        </w:tc>
        <w:tc>
          <w:tcPr>
            <w:tcW w:w="95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BZ49202</w:t>
            </w:r>
          </w:p>
        </w:tc>
        <w:tc>
          <w:tcPr>
            <w:tcW w:w="10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腹膜透析</w:t>
            </w:r>
          </w:p>
        </w:tc>
        <w:tc>
          <w:tcPr>
            <w:tcW w:w="5184"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left"/>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费用限额为4200元/月（50400元/年），按月在限额内基本医保统筹基金据实报销80%、个人自付20%。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5</w:t>
            </w:r>
          </w:p>
        </w:tc>
        <w:tc>
          <w:tcPr>
            <w:tcW w:w="789"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透析门诊用药</w:t>
            </w:r>
          </w:p>
        </w:tc>
        <w:tc>
          <w:tcPr>
            <w:tcW w:w="951"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M07815</w:t>
            </w:r>
          </w:p>
        </w:tc>
        <w:tc>
          <w:tcPr>
            <w:tcW w:w="106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透析患者门诊使用药物治疗(含化验及检查)</w:t>
            </w: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三级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default" w:ascii="宋体" w:hAnsi="宋体" w:cs="Times New Roman"/>
                <w:kern w:val="0"/>
                <w:sz w:val="20"/>
                <w:szCs w:val="20"/>
                <w:lang w:val="en-US" w:eastAsia="zh-CN"/>
              </w:rPr>
            </w:pPr>
            <w:r>
              <w:rPr>
                <w:rFonts w:hint="eastAsia" w:ascii="宋体" w:hAnsi="宋体" w:cs="Times New Roman"/>
                <w:kern w:val="0"/>
                <w:sz w:val="20"/>
                <w:szCs w:val="20"/>
                <w:lang w:val="en-US" w:eastAsia="zh-CN"/>
              </w:rPr>
              <w:t>1275元/月（15300元/年），按月计算</w:t>
            </w:r>
          </w:p>
        </w:tc>
        <w:tc>
          <w:tcPr>
            <w:tcW w:w="317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在限额内据实报销75%（≤11475元/年），个人自付25%。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789"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951"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106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p>
        </w:tc>
        <w:tc>
          <w:tcPr>
            <w:tcW w:w="8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二级</w:t>
            </w:r>
          </w:p>
        </w:tc>
        <w:tc>
          <w:tcPr>
            <w:tcW w:w="120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1175元/月（14100元/年），按月计算</w:t>
            </w:r>
          </w:p>
        </w:tc>
        <w:tc>
          <w:tcPr>
            <w:tcW w:w="3178"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在限额内据实报销80%（≤11280元/年），个人自付20%。</w:t>
            </w:r>
          </w:p>
        </w:tc>
      </w:tr>
    </w:tbl>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城镇职工</w:t>
      </w:r>
    </w:p>
    <w:tbl>
      <w:tblPr>
        <w:tblStyle w:val="5"/>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58"/>
        <w:gridCol w:w="947"/>
        <w:gridCol w:w="1088"/>
        <w:gridCol w:w="787"/>
        <w:gridCol w:w="1219"/>
        <w:gridCol w:w="167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序号</w:t>
            </w:r>
          </w:p>
        </w:tc>
        <w:tc>
          <w:tcPr>
            <w:tcW w:w="7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病种名称</w:t>
            </w:r>
          </w:p>
        </w:tc>
        <w:tc>
          <w:tcPr>
            <w:tcW w:w="9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b/>
                <w:bCs/>
                <w:kern w:val="0"/>
                <w:sz w:val="20"/>
                <w:szCs w:val="20"/>
              </w:rPr>
            </w:pPr>
            <w:r>
              <w:rPr>
                <w:rFonts w:hint="eastAsia" w:ascii="宋体" w:hAnsi="宋体" w:cs="Times New Roman"/>
                <w:b/>
                <w:bCs/>
                <w:kern w:val="0"/>
                <w:sz w:val="20"/>
                <w:szCs w:val="20"/>
              </w:rPr>
              <w:t>病种</w:t>
            </w:r>
          </w:p>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代码</w:t>
            </w:r>
          </w:p>
        </w:tc>
        <w:tc>
          <w:tcPr>
            <w:tcW w:w="10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治疗方式</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b/>
                <w:bCs/>
                <w:kern w:val="0"/>
                <w:sz w:val="20"/>
                <w:szCs w:val="20"/>
              </w:rPr>
            </w:pPr>
            <w:r>
              <w:rPr>
                <w:rFonts w:hint="eastAsia" w:ascii="宋体" w:hAnsi="宋体" w:cs="Times New Roman"/>
                <w:b/>
                <w:bCs/>
                <w:kern w:val="0"/>
                <w:sz w:val="20"/>
                <w:szCs w:val="20"/>
              </w:rPr>
              <w:t>医院</w:t>
            </w:r>
          </w:p>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等级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费用限额</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基本医保统筹基金定额支付（元/次）</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ascii="宋体" w:hAnsi="宋体" w:cs="Times New Roman"/>
                <w:b/>
                <w:bCs/>
                <w:kern w:val="0"/>
                <w:sz w:val="20"/>
                <w:szCs w:val="20"/>
              </w:rPr>
            </w:pPr>
            <w:r>
              <w:rPr>
                <w:rFonts w:hint="eastAsia" w:ascii="宋体" w:hAnsi="宋体" w:cs="Times New Roman"/>
                <w:b/>
                <w:bCs/>
                <w:kern w:val="0"/>
                <w:sz w:val="20"/>
                <w:szCs w:val="20"/>
              </w:rPr>
              <w:t>患者在限额内按比例据实自付（元/次）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1</w:t>
            </w:r>
          </w:p>
        </w:tc>
        <w:tc>
          <w:tcPr>
            <w:tcW w:w="75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体外透析</w:t>
            </w:r>
          </w:p>
        </w:tc>
        <w:tc>
          <w:tcPr>
            <w:tcW w:w="94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BZ49101</w:t>
            </w:r>
          </w:p>
        </w:tc>
        <w:tc>
          <w:tcPr>
            <w:tcW w:w="108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血液透析</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三级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500元/次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85%即425</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15%即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108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二级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480元/次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90%即432</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10%即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2</w:t>
            </w: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BZ49103</w:t>
            </w:r>
          </w:p>
        </w:tc>
        <w:tc>
          <w:tcPr>
            <w:tcW w:w="108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血液滤过</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三级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870元/次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85%即739.5</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lang w:val="en-US" w:eastAsia="zh-CN"/>
              </w:rPr>
              <w:t>1</w:t>
            </w:r>
            <w:r>
              <w:rPr>
                <w:rFonts w:hint="eastAsia" w:ascii="宋体" w:hAnsi="宋体" w:cs="Times New Roman"/>
                <w:kern w:val="0"/>
                <w:sz w:val="20"/>
                <w:szCs w:val="20"/>
              </w:rPr>
              <w:t>5</w:t>
            </w:r>
            <w:r>
              <w:rPr>
                <w:rFonts w:hint="eastAsia" w:ascii="宋体" w:hAnsi="宋体" w:cs="Times New Roman"/>
                <w:kern w:val="0"/>
                <w:sz w:val="20"/>
                <w:szCs w:val="20"/>
                <w:lang w:val="en-US" w:eastAsia="zh-CN"/>
              </w:rPr>
              <w:t>%</w:t>
            </w:r>
            <w:r>
              <w:rPr>
                <w:rFonts w:hint="eastAsia" w:ascii="宋体" w:hAnsi="宋体" w:cs="Times New Roman"/>
                <w:kern w:val="0"/>
                <w:sz w:val="20"/>
                <w:szCs w:val="20"/>
              </w:rPr>
              <w:t>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108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二级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770元/次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90%即693</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lang w:val="en-US" w:eastAsia="zh-CN"/>
              </w:rPr>
              <w:t>1</w:t>
            </w:r>
            <w:r>
              <w:rPr>
                <w:rFonts w:hint="eastAsia" w:ascii="宋体" w:hAnsi="宋体" w:cs="Times New Roman"/>
                <w:kern w:val="0"/>
                <w:sz w:val="20"/>
                <w:szCs w:val="20"/>
              </w:rPr>
              <w:t>0%即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3</w:t>
            </w: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BZ49102</w:t>
            </w:r>
          </w:p>
        </w:tc>
        <w:tc>
          <w:tcPr>
            <w:tcW w:w="108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血液灌流</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三级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1380元/次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85%即1173</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lang w:val="en-US" w:eastAsia="zh-CN"/>
              </w:rPr>
              <w:t>1</w:t>
            </w:r>
            <w:r>
              <w:rPr>
                <w:rFonts w:hint="eastAsia" w:ascii="宋体" w:hAnsi="宋体" w:cs="Times New Roman"/>
                <w:kern w:val="0"/>
                <w:sz w:val="20"/>
                <w:szCs w:val="20"/>
              </w:rPr>
              <w:t>5%即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108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二级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1260元/次</w:t>
            </w:r>
          </w:p>
        </w:tc>
        <w:tc>
          <w:tcPr>
            <w:tcW w:w="167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90%即1134</w:t>
            </w: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lang w:val="en-US" w:eastAsia="zh-CN"/>
              </w:rPr>
              <w:t>1</w:t>
            </w:r>
            <w:bookmarkStart w:id="0" w:name="_GoBack"/>
            <w:bookmarkEnd w:id="0"/>
            <w:r>
              <w:rPr>
                <w:rFonts w:hint="eastAsia" w:ascii="宋体" w:hAnsi="宋体" w:cs="Times New Roman"/>
                <w:kern w:val="0"/>
                <w:sz w:val="20"/>
                <w:szCs w:val="20"/>
              </w:rPr>
              <w:t>0%即</w:t>
            </w:r>
            <w:r>
              <w:rPr>
                <w:rFonts w:hint="eastAsia" w:ascii="宋体" w:hAnsi="宋体" w:cs="Times New Roman"/>
                <w:kern w:val="0"/>
                <w:sz w:val="20"/>
                <w:szCs w:val="20"/>
                <w:lang w:val="en-US" w:eastAsia="zh-CN"/>
              </w:rPr>
              <w:t>≤</w:t>
            </w:r>
            <w:r>
              <w:rPr>
                <w:rFonts w:hint="eastAsia" w:ascii="宋体" w:hAnsi="宋体" w:cs="Times New Roman"/>
                <w:kern w:val="0"/>
                <w:sz w:val="20"/>
                <w:szCs w:val="2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4</w:t>
            </w:r>
          </w:p>
        </w:tc>
        <w:tc>
          <w:tcPr>
            <w:tcW w:w="7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其他透析</w:t>
            </w:r>
          </w:p>
        </w:tc>
        <w:tc>
          <w:tcPr>
            <w:tcW w:w="94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BZ49202</w:t>
            </w:r>
          </w:p>
        </w:tc>
        <w:tc>
          <w:tcPr>
            <w:tcW w:w="10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腹膜透析</w:t>
            </w:r>
          </w:p>
        </w:tc>
        <w:tc>
          <w:tcPr>
            <w:tcW w:w="5172"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left"/>
              <w:textAlignment w:val="auto"/>
              <w:rPr>
                <w:rFonts w:hint="eastAsia" w:ascii="宋体" w:hAnsi="宋体" w:cs="Times New Roman"/>
                <w:kern w:val="0"/>
                <w:sz w:val="20"/>
                <w:szCs w:val="20"/>
              </w:rPr>
            </w:pPr>
            <w:r>
              <w:rPr>
                <w:rFonts w:hint="eastAsia" w:ascii="宋体" w:hAnsi="宋体" w:cs="Times New Roman"/>
                <w:kern w:val="0"/>
                <w:sz w:val="20"/>
                <w:szCs w:val="20"/>
              </w:rPr>
              <w:t>费用限额为4200元/月</w:t>
            </w:r>
            <w:r>
              <w:rPr>
                <w:rFonts w:hint="eastAsia" w:ascii="宋体" w:hAnsi="宋体" w:cs="Times New Roman"/>
                <w:kern w:val="0"/>
                <w:sz w:val="20"/>
                <w:szCs w:val="20"/>
                <w:lang w:eastAsia="zh-CN"/>
              </w:rPr>
              <w:t>（</w:t>
            </w:r>
            <w:r>
              <w:rPr>
                <w:rFonts w:hint="eastAsia" w:ascii="宋体" w:hAnsi="宋体" w:cs="Times New Roman"/>
                <w:kern w:val="0"/>
                <w:sz w:val="20"/>
                <w:szCs w:val="20"/>
              </w:rPr>
              <w:t>50400元/年</w:t>
            </w:r>
            <w:r>
              <w:rPr>
                <w:rFonts w:hint="eastAsia" w:ascii="宋体" w:hAnsi="宋体" w:cs="Times New Roman"/>
                <w:kern w:val="0"/>
                <w:sz w:val="20"/>
                <w:szCs w:val="20"/>
                <w:lang w:eastAsia="zh-CN"/>
              </w:rPr>
              <w:t>）</w:t>
            </w:r>
            <w:r>
              <w:rPr>
                <w:rFonts w:hint="eastAsia" w:ascii="宋体" w:hAnsi="宋体" w:cs="Times New Roman"/>
                <w:kern w:val="0"/>
                <w:sz w:val="20"/>
                <w:szCs w:val="20"/>
              </w:rPr>
              <w:t>，在限额内基本医保统筹基金据实报销90%、个人自付10%。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5</w:t>
            </w:r>
          </w:p>
        </w:tc>
        <w:tc>
          <w:tcPr>
            <w:tcW w:w="75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透析门诊用药</w:t>
            </w:r>
          </w:p>
        </w:tc>
        <w:tc>
          <w:tcPr>
            <w:tcW w:w="947"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M07815</w:t>
            </w:r>
          </w:p>
        </w:tc>
        <w:tc>
          <w:tcPr>
            <w:tcW w:w="1088"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透析患者门诊使用药物治疗(含化验及检查)</w:t>
            </w: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三级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1275元/月（</w:t>
            </w:r>
            <w:r>
              <w:rPr>
                <w:rFonts w:hint="eastAsia" w:ascii="宋体" w:hAnsi="宋体" w:cs="Times New Roman"/>
                <w:kern w:val="0"/>
                <w:sz w:val="20"/>
                <w:szCs w:val="20"/>
              </w:rPr>
              <w:t>15300元/年</w:t>
            </w:r>
            <w:r>
              <w:rPr>
                <w:rFonts w:hint="eastAsia" w:ascii="宋体" w:hAnsi="宋体" w:cs="Times New Roman"/>
                <w:kern w:val="0"/>
                <w:sz w:val="20"/>
                <w:szCs w:val="20"/>
                <w:lang w:val="en-US" w:eastAsia="zh-CN"/>
              </w:rPr>
              <w:t>）</w:t>
            </w:r>
            <w:r>
              <w:rPr>
                <w:rFonts w:hint="eastAsia" w:ascii="宋体" w:hAnsi="宋体" w:cs="Times New Roman"/>
                <w:kern w:val="0"/>
                <w:sz w:val="20"/>
                <w:szCs w:val="20"/>
              </w:rPr>
              <w:t>，</w:t>
            </w:r>
            <w:r>
              <w:rPr>
                <w:rFonts w:hint="eastAsia" w:ascii="宋体" w:hAnsi="宋体" w:cs="Times New Roman"/>
                <w:kern w:val="0"/>
                <w:sz w:val="20"/>
                <w:szCs w:val="20"/>
                <w:lang w:val="en-US" w:eastAsia="zh-CN"/>
              </w:rPr>
              <w:t>按月计算</w:t>
            </w:r>
          </w:p>
        </w:tc>
        <w:tc>
          <w:tcPr>
            <w:tcW w:w="316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在限额内据实报销85%（≤13005元/年），个人自付15%。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4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5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947"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1088" w:type="dxa"/>
            <w:vMerge w:val="continue"/>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p>
        </w:tc>
        <w:tc>
          <w:tcPr>
            <w:tcW w:w="78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rPr>
              <w:t>二级</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rPr>
            </w:pPr>
            <w:r>
              <w:rPr>
                <w:rFonts w:hint="eastAsia" w:ascii="宋体" w:hAnsi="宋体" w:cs="Times New Roman"/>
                <w:kern w:val="0"/>
                <w:sz w:val="20"/>
                <w:szCs w:val="20"/>
                <w:lang w:val="en-US" w:eastAsia="zh-CN"/>
              </w:rPr>
              <w:t>1175元/月（14100元/年），按月计算</w:t>
            </w:r>
          </w:p>
        </w:tc>
        <w:tc>
          <w:tcPr>
            <w:tcW w:w="316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jc w:val="center"/>
              <w:textAlignment w:val="auto"/>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在限额内据实报销90%即（≤12690元/年），个人自付10%。</w:t>
            </w:r>
          </w:p>
        </w:tc>
      </w:tr>
    </w:tbl>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宋体" w:hAnsi="宋体" w:cs="Times New Roman"/>
          <w:b w:val="0"/>
          <w:bCs/>
          <w:sz w:val="30"/>
          <w:szCs w:val="30"/>
        </w:rPr>
      </w:pPr>
      <w:r>
        <w:rPr>
          <w:rFonts w:hint="eastAsia" w:ascii="黑体" w:hAnsi="黑体" w:eastAsia="黑体" w:cs="黑体"/>
          <w:b w:val="0"/>
          <w:bCs/>
          <w:sz w:val="32"/>
          <w:szCs w:val="32"/>
        </w:rPr>
        <w:t>三、限量规定</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体外透析费用限额的内涵，是血液透析、血液滤过、血液灌流治疗全过程发生的治疗费(含透析液)及高通量透析器、血路管、灌流器、穿刺针等材料的费用；血液灌流费用限额，含同时采用透析施治的费用。腹膜透析费用限额的内涵，包括血液净化的</w:t>
      </w:r>
      <w:r>
        <w:rPr>
          <w:rFonts w:hint="eastAsia" w:ascii="仿宋" w:hAnsi="仿宋" w:eastAsia="仿宋" w:cs="仿宋"/>
          <w:b w:val="0"/>
          <w:bCs/>
          <w:sz w:val="32"/>
          <w:szCs w:val="32"/>
          <w:lang w:val="en-US" w:eastAsia="zh-CN"/>
        </w:rPr>
        <w:t>透析液</w:t>
      </w:r>
      <w:r>
        <w:rPr>
          <w:rFonts w:hint="eastAsia" w:ascii="仿宋" w:hAnsi="仿宋" w:eastAsia="仿宋" w:cs="仿宋"/>
          <w:b w:val="0"/>
          <w:bCs/>
          <w:sz w:val="32"/>
          <w:szCs w:val="32"/>
        </w:rPr>
        <w:t>、材料费、治疗费。</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透析门诊用药费用按年度控制，在年限额内按规定比例报销；不足一年的平均按月控制，在月限额内按规定比例报销。透析门诊用药费用限额的内涵，包括透析患者门诊使用药物治疗及化验、检查的费用。</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每人每月体外透析限量12次(其中血滤、血灌各</w:t>
      </w:r>
      <w:r>
        <w:rPr>
          <w:rFonts w:hint="eastAsia" w:ascii="仿宋" w:hAnsi="仿宋" w:eastAsia="仿宋" w:cs="仿宋"/>
          <w:b w:val="0"/>
          <w:bCs/>
          <w:sz w:val="32"/>
          <w:szCs w:val="32"/>
          <w:lang w:val="en-US" w:eastAsia="zh-CN"/>
        </w:rPr>
        <w:t>限</w:t>
      </w:r>
      <w:r>
        <w:rPr>
          <w:rFonts w:hint="eastAsia" w:ascii="仿宋" w:hAnsi="仿宋" w:eastAsia="仿宋" w:cs="仿宋"/>
          <w:b w:val="0"/>
          <w:bCs/>
          <w:sz w:val="32"/>
          <w:szCs w:val="32"/>
        </w:rPr>
        <w:t>1次)、腹膜透析限量115袋（230升）</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常规检查项目及频率</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1、贫血指标</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血常规、铁代谢(每1-3个月检查一次)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2、离子、酸碱平衡指标</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离子(每1-3个月检查一次)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3、继发性甲状旁腺功能亢进</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钙、磷、甲状旁腺素(每1-3个月检查一次)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4、营养状态</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白蛋白(每1-3个月检查一次)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5、炎症状态</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C反应蛋白(每3-6个月检查一次)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6、透析充分性</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透前、透后尿素(每1-3个月检查一次);透前、透后β2微球蛋白(每3-6个月检查一次)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7、肝脏功能、代谢指标</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肝功、血脂、血糖(每3-6个月检查一次)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8、传染病指标</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外科综合(乙肝、丙肝、梅毒、艾滋病)(每6个月检查一次)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9、心肺功能</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胸片、心电、心脏超声(每6-12个月检查一次)</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各定点医疗机构必须按标准术式施治，不得另外收取以上限量内基本医疗费用，除此之外的特需治疗须经患者书面确认，由此产生的费用全部自费。</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四、大病救助及其它规定</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终末期肾脏病透析属特殊治疗项目，适合在门诊治疗，并比住院治疗更经济方便。因此，对这部分大病患者发生的高额医疗费用在基本医保支付后，个人负担的限量限价(即费用限额)政策内医疗费用，年度累加超过居民大病保险或职工大病医疗互助起付标准以上的部分给予进一步保障，享受住院居民大病保险或职工大病医疗互助相关政策；符合医疗救助条件的，享受医疗救助相关政策，更好减轻参保患者医疗费用负担。</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透析患者若伴有其他慢特病，按慢特病管理办法申报鉴定，符合条件的享受相关待遇</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参保患者长期在市外务工、居住期间透析治疗发生的医疗费用，在参保地医保经办机构备案确认后，在就医地按上述政策直接结算；未能直接结算的，回参保地医保经办机构按上述政策结算。</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居家腹膜透析发生的医疗费用，未在定点医疗机构直接结算的，按月或季到参保地医保经办机构按上述政策结算报销。</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640" w:firstLineChars="200"/>
        <w:textAlignment w:val="auto"/>
        <w:rPr>
          <w:rFonts w:hint="eastAsia" w:ascii="仿宋" w:hAnsi="仿宋" w:eastAsia="仿宋" w:cs="仿宋"/>
          <w:b w:val="0"/>
          <w:bCs/>
          <w:sz w:val="32"/>
          <w:szCs w:val="32"/>
        </w:rPr>
      </w:pPr>
      <w:r>
        <w:rPr>
          <w:rFonts w:hint="eastAsia" w:ascii="黑体" w:hAnsi="黑体" w:eastAsia="黑体" w:cs="黑体"/>
          <w:b w:val="0"/>
          <w:bCs/>
          <w:sz w:val="32"/>
          <w:szCs w:val="32"/>
        </w:rPr>
        <w:t>五</w:t>
      </w:r>
      <w:r>
        <w:rPr>
          <w:rFonts w:hint="eastAsia" w:ascii="宋体" w:hAnsi="宋体" w:cs="Times New Roman"/>
          <w:b w:val="0"/>
          <w:bCs/>
          <w:sz w:val="32"/>
          <w:szCs w:val="32"/>
        </w:rPr>
        <w:t>、</w:t>
      </w:r>
      <w:r>
        <w:rPr>
          <w:rFonts w:hint="eastAsia" w:ascii="仿宋" w:hAnsi="仿宋" w:eastAsia="仿宋" w:cs="仿宋"/>
          <w:b w:val="0"/>
          <w:bCs/>
          <w:sz w:val="32"/>
          <w:szCs w:val="32"/>
        </w:rPr>
        <w:t>本通知</w:t>
      </w:r>
      <w:r>
        <w:rPr>
          <w:rFonts w:hint="eastAsia" w:ascii="仿宋" w:hAnsi="仿宋" w:eastAsia="仿宋" w:cs="仿宋"/>
          <w:b w:val="0"/>
          <w:bCs/>
          <w:sz w:val="32"/>
          <w:szCs w:val="32"/>
          <w:lang w:val="en-US" w:eastAsia="zh-CN"/>
        </w:rPr>
        <w:t>自</w:t>
      </w:r>
      <w:r>
        <w:rPr>
          <w:rFonts w:hint="eastAsia" w:ascii="仿宋" w:hAnsi="仿宋" w:eastAsia="仿宋" w:cs="仿宋"/>
          <w:b w:val="0"/>
          <w:bCs/>
          <w:sz w:val="32"/>
          <w:szCs w:val="32"/>
        </w:rPr>
        <w:t>2022年</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月1日起执行。此前相关规定与本通知不一致的，按本通知执行。本通知涉及的政策，由市局保障科、稽查科负责向省局相关处室(中心)汇报衔接，尽快做好新平台结算信息系统的更新维护；市县(区)医保经办机构负责将本通知发至各定点医疗机构遵照执行，市局保障科负责跟踪督导。</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4480" w:firstLineChars="14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line="530" w:lineRule="exact"/>
        <w:ind w:firstLine="4480" w:firstLineChars="1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4480" w:firstLineChars="1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商洛市医疗保障局</w:t>
      </w:r>
    </w:p>
    <w:p>
      <w:pPr>
        <w:keepNext w:val="0"/>
        <w:keepLines w:val="0"/>
        <w:pageBreakBefore w:val="0"/>
        <w:widowControl w:val="0"/>
        <w:kinsoku/>
        <w:wordWrap/>
        <w:overflowPunct/>
        <w:topLinePunct w:val="0"/>
        <w:autoSpaceDE/>
        <w:autoSpaceDN/>
        <w:bidi w:val="0"/>
        <w:adjustRightInd/>
        <w:snapToGrid/>
        <w:spacing w:beforeAutospacing="0" w:line="530" w:lineRule="exact"/>
        <w:ind w:firstLine="4480" w:firstLineChars="1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2022年</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日</w:t>
      </w:r>
    </w:p>
    <w:p>
      <w:pPr>
        <w:keepNext w:val="0"/>
        <w:keepLines w:val="0"/>
        <w:pageBreakBefore w:val="0"/>
        <w:widowControl w:val="0"/>
        <w:kinsoku/>
        <w:wordWrap/>
        <w:overflowPunct/>
        <w:topLinePunct w:val="0"/>
        <w:autoSpaceDE/>
        <w:autoSpaceDN/>
        <w:bidi w:val="0"/>
        <w:adjustRightInd/>
        <w:snapToGrid/>
        <w:spacing w:beforeAutospacing="0" w:line="530" w:lineRule="exact"/>
        <w:jc w:val="both"/>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此件公开发布</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b w:val="0"/>
          <w:bCs/>
        </w:rPr>
      </w:pPr>
      <w:r>
        <w:rPr>
          <w:rFonts w:cs="Times New Roman"/>
          <w:b w:val="0"/>
          <w:bCs/>
        </w:rPr>
        <w:t xml:space="preserve"> </w:t>
      </w:r>
    </w:p>
    <w:p>
      <w:pPr>
        <w:rPr>
          <w:rFonts w:hint="eastAsia" w:cs="Times New Roman"/>
        </w:rPr>
      </w:pPr>
      <w:r>
        <w:rPr>
          <w:rFonts w:cs="Times New Roman"/>
        </w:rPr>
        <w:t xml:space="preserve"> </w:t>
      </w:r>
    </w:p>
    <w:p>
      <w:pPr>
        <w:rPr>
          <w:rFonts w:cs="Times New Roman"/>
        </w:rPr>
      </w:pPr>
      <w:r>
        <w:rPr>
          <w:rFonts w:cs="Times New Roman"/>
        </w:rPr>
        <w:t xml:space="preserve"> </w:t>
      </w:r>
    </w:p>
    <w:p>
      <w:pPr>
        <w:rPr>
          <w:rFonts w:cs="Times New Roman"/>
        </w:rPr>
      </w:pPr>
      <w:r>
        <w:rPr>
          <w:rFonts w:cs="Times New Roman"/>
        </w:rPr>
        <w:t xml:space="preserve"> </w:t>
      </w:r>
    </w:p>
    <w:p>
      <w:pPr>
        <w:rPr>
          <w:rFonts w:cs="Times New Roman"/>
        </w:rPr>
      </w:pPr>
      <w:r>
        <w:rPr>
          <w:rFonts w:cs="Times New Roman"/>
        </w:rPr>
        <w:t xml:space="preserve"> </w:t>
      </w:r>
    </w:p>
    <w:p>
      <w:pPr>
        <w:rPr>
          <w:rFonts w:cs="Times New Roman"/>
        </w:rPr>
      </w:pPr>
      <w:r>
        <w:rPr>
          <w:rFonts w:cs="Times New Roman"/>
        </w:rPr>
        <w:t xml:space="preserve"> </w:t>
      </w:r>
    </w:p>
    <w:p>
      <w:pPr>
        <w:rPr>
          <w:rFonts w:cs="Times New Roman"/>
        </w:rPr>
      </w:pPr>
      <w:r>
        <w:rPr>
          <w:rFonts w:cs="Times New Roman"/>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s="Times New Roman"/>
          <w:lang w:val="en-US" w:eastAsia="zh-CN"/>
        </w:rPr>
      </w:pPr>
      <w:r>
        <w:rPr>
          <w:rFonts w:hint="eastAsia" w:cs="Times New Roman"/>
          <w:lang w:val="en-US" w:eastAsia="zh-CN"/>
        </w:rPr>
        <w:t>.</w:t>
      </w: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cs="Times New Roman"/>
        </w:rPr>
      </w:pPr>
      <w:r>
        <w:rPr>
          <w:rFonts w:cs="Times New Roman"/>
        </w:rPr>
        <w:t xml:space="preserve"> </w:t>
      </w:r>
    </w:p>
    <w:p>
      <w:pPr>
        <w:rPr>
          <w:rFonts w:cs="Times New Roman"/>
        </w:rPr>
      </w:pPr>
    </w:p>
    <w:p>
      <w:pPr>
        <w:rPr>
          <w:rFonts w:cs="Times New Roman"/>
        </w:rPr>
      </w:pPr>
    </w:p>
    <w:p>
      <w:pPr>
        <w:rPr>
          <w:rFonts w:cs="Times New Roman"/>
        </w:rPr>
      </w:pPr>
    </w:p>
    <w:tbl>
      <w:tblPr>
        <w:tblStyle w:val="5"/>
        <w:tblpPr w:leftFromText="180" w:rightFromText="180" w:vertAnchor="text" w:horzAnchor="page" w:tblpX="1754" w:tblpY="1052"/>
        <w:tblOverlap w:val="never"/>
        <w:tblW w:w="87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78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snapToGrid/>
              <w:spacing w:beforeAutospacing="0" w:line="400" w:lineRule="exact"/>
              <w:textAlignment w:val="auto"/>
              <w:rPr>
                <w:rFonts w:ascii="仿宋_GB2312" w:eastAsia="仿宋_GB2312" w:cs="Times New Roman"/>
                <w:kern w:val="0"/>
                <w:sz w:val="32"/>
                <w:szCs w:val="32"/>
              </w:rPr>
            </w:pPr>
            <w:r>
              <w:rPr>
                <w:rFonts w:hint="eastAsia" w:ascii="仿宋_GB2312" w:eastAsia="仿宋_GB2312" w:cs="Times New Roman"/>
                <w:kern w:val="0"/>
                <w:sz w:val="30"/>
                <w:szCs w:val="30"/>
              </w:rPr>
              <w:t>抄送:省医保局(待遇保障处、医药服务管理处、法规与监督处、医保基金中心)，市纪委监委驻市卫健委纪监组、市财政局、市卫健委，本局局长、副局长，各科室，</w:t>
            </w:r>
            <w:r>
              <w:rPr>
                <w:rFonts w:hint="eastAsia" w:ascii="仿宋_GB2312" w:eastAsia="仿宋_GB2312" w:cs="Times New Roman"/>
                <w:kern w:val="0"/>
                <w:sz w:val="30"/>
                <w:szCs w:val="30"/>
                <w:lang w:val="en-US" w:eastAsia="zh-CN"/>
              </w:rPr>
              <w:t xml:space="preserve">                      </w:t>
            </w:r>
            <w:r>
              <w:rPr>
                <w:rFonts w:hint="eastAsia" w:ascii="仿宋_GB2312" w:eastAsia="仿宋_GB2312" w:cs="Times New Roman"/>
                <w:kern w:val="0"/>
                <w:sz w:val="30"/>
                <w:szCs w:val="30"/>
              </w:rPr>
              <w:t>档(二)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80"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spacing w:beforeAutospacing="0" w:line="400" w:lineRule="exact"/>
              <w:textAlignment w:val="auto"/>
              <w:rPr>
                <w:rFonts w:ascii="仿宋_GB2312" w:eastAsia="仿宋_GB2312" w:cs="Times New Roman"/>
                <w:kern w:val="0"/>
                <w:sz w:val="32"/>
                <w:szCs w:val="32"/>
              </w:rPr>
            </w:pPr>
            <w:r>
              <w:rPr>
                <w:rFonts w:hint="eastAsia" w:ascii="仿宋_GB2312" w:eastAsia="仿宋_GB2312" w:cs="Times New Roman"/>
                <w:kern w:val="0"/>
                <w:sz w:val="32"/>
                <w:szCs w:val="32"/>
              </w:rPr>
              <w:t xml:space="preserve">商洛市医疗保障局               </w:t>
            </w:r>
            <w:r>
              <w:rPr>
                <w:rFonts w:hint="eastAsia" w:ascii="仿宋_GB2312" w:eastAsia="仿宋_GB2312" w:cs="Times New Roman"/>
                <w:kern w:val="0"/>
                <w:sz w:val="32"/>
                <w:szCs w:val="32"/>
                <w:lang w:val="en-US" w:eastAsia="zh-CN"/>
              </w:rPr>
              <w:t xml:space="preserve"> </w:t>
            </w:r>
            <w:r>
              <w:rPr>
                <w:rFonts w:hint="eastAsia" w:ascii="仿宋_GB2312" w:eastAsia="仿宋_GB2312" w:cs="Times New Roman"/>
                <w:kern w:val="0"/>
                <w:sz w:val="32"/>
                <w:szCs w:val="32"/>
              </w:rPr>
              <w:t xml:space="preserve"> </w:t>
            </w:r>
            <w:r>
              <w:rPr>
                <w:rFonts w:hint="eastAsia" w:ascii="仿宋_GB2312" w:eastAsia="仿宋_GB2312" w:cs="Times New Roman"/>
                <w:kern w:val="0"/>
                <w:sz w:val="32"/>
                <w:szCs w:val="32"/>
                <w:lang w:val="en-US" w:eastAsia="zh-CN"/>
              </w:rPr>
              <w:t xml:space="preserve"> </w:t>
            </w:r>
            <w:r>
              <w:rPr>
                <w:rFonts w:hint="eastAsia" w:ascii="仿宋_GB2312" w:eastAsia="仿宋_GB2312" w:cs="Times New Roman"/>
                <w:kern w:val="0"/>
                <w:sz w:val="30"/>
                <w:szCs w:val="30"/>
                <w:lang w:val="en-US" w:eastAsia="zh-CN"/>
              </w:rPr>
              <w:t xml:space="preserve"> </w:t>
            </w:r>
            <w:r>
              <w:rPr>
                <w:rFonts w:hint="eastAsia" w:ascii="仿宋_GB2312" w:eastAsia="仿宋_GB2312" w:cs="Times New Roman"/>
                <w:kern w:val="0"/>
                <w:sz w:val="30"/>
                <w:szCs w:val="30"/>
              </w:rPr>
              <w:t xml:space="preserve"> </w:t>
            </w:r>
            <w:r>
              <w:rPr>
                <w:rFonts w:hint="eastAsia" w:ascii="仿宋_GB2312" w:eastAsia="仿宋_GB2312" w:cs="Times New Roman"/>
                <w:kern w:val="0"/>
                <w:sz w:val="30"/>
                <w:szCs w:val="30"/>
                <w:lang w:val="en-US" w:eastAsia="zh-CN"/>
              </w:rPr>
              <w:t xml:space="preserve"> </w:t>
            </w:r>
            <w:r>
              <w:rPr>
                <w:rFonts w:hint="eastAsia" w:ascii="仿宋_GB2312" w:eastAsia="仿宋_GB2312" w:cs="Times New Roman"/>
                <w:kern w:val="0"/>
                <w:sz w:val="30"/>
                <w:szCs w:val="30"/>
              </w:rPr>
              <w:t>2022年</w:t>
            </w:r>
            <w:r>
              <w:rPr>
                <w:rFonts w:hint="eastAsia" w:ascii="仿宋_GB2312" w:eastAsia="仿宋_GB2312" w:cs="Times New Roman"/>
                <w:kern w:val="0"/>
                <w:sz w:val="30"/>
                <w:szCs w:val="30"/>
                <w:lang w:val="en-US" w:eastAsia="zh-CN"/>
              </w:rPr>
              <w:t>3</w:t>
            </w:r>
            <w:r>
              <w:rPr>
                <w:rFonts w:hint="eastAsia" w:ascii="仿宋_GB2312" w:eastAsia="仿宋_GB2312" w:cs="Times New Roman"/>
                <w:kern w:val="0"/>
                <w:sz w:val="30"/>
                <w:szCs w:val="30"/>
              </w:rPr>
              <w:t>月</w:t>
            </w:r>
            <w:r>
              <w:rPr>
                <w:rFonts w:hint="eastAsia" w:ascii="仿宋_GB2312" w:eastAsia="仿宋_GB2312" w:cs="Times New Roman"/>
                <w:kern w:val="0"/>
                <w:sz w:val="30"/>
                <w:szCs w:val="30"/>
                <w:lang w:val="en-US" w:eastAsia="zh-CN"/>
              </w:rPr>
              <w:t>8</w:t>
            </w:r>
            <w:r>
              <w:rPr>
                <w:rFonts w:hint="eastAsia" w:ascii="仿宋_GB2312" w:eastAsia="仿宋_GB2312" w:cs="Times New Roman"/>
                <w:kern w:val="0"/>
                <w:sz w:val="30"/>
                <w:szCs w:val="30"/>
              </w:rPr>
              <w:t>日印发</w:t>
            </w:r>
          </w:p>
        </w:tc>
      </w:tr>
    </w:tbl>
    <w:p>
      <w:pPr>
        <w:rPr>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48"/>
    <w:rsid w:val="00345D9A"/>
    <w:rsid w:val="007E3302"/>
    <w:rsid w:val="00980248"/>
    <w:rsid w:val="00E72F7D"/>
    <w:rsid w:val="0B18454E"/>
    <w:rsid w:val="14037196"/>
    <w:rsid w:val="24B26D32"/>
    <w:rsid w:val="2BBF0C1C"/>
    <w:rsid w:val="2DD54EEA"/>
    <w:rsid w:val="3BDE7E7F"/>
    <w:rsid w:val="3DC51443"/>
    <w:rsid w:val="4ABD273A"/>
    <w:rsid w:val="60A60CCB"/>
    <w:rsid w:val="62252F9C"/>
    <w:rsid w:val="694A0008"/>
    <w:rsid w:val="7392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544</Words>
  <Characters>3103</Characters>
  <Lines>25</Lines>
  <Paragraphs>7</Paragraphs>
  <TotalTime>39</TotalTime>
  <ScaleCrop>false</ScaleCrop>
  <LinksUpToDate>false</LinksUpToDate>
  <CharactersWithSpaces>3640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2022-02-09T01:32:00Z</dcterms:created>
  <dc:creator>0</dc:creator>
  <cp:lastModifiedBy>苍墨</cp:lastModifiedBy>
  <cp:lastPrinted>2022-03-07T08:58:00Z</cp:lastPrinted>
  <dcterms:modified xsi:type="dcterms:W3CDTF">2022-03-23T02:38:33Z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5FD25BE3DD164C3F8487E34D41D81634</vt:lpwstr>
  </property>
</Properties>
</file>