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商洛市住房和城乡建设局</w:t>
      </w: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2022年部门综合预算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spacing w:line="360" w:lineRule="auto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第一部分   部门概况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二、2022年年度部门工作任务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第二部分   收支情况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五、2022年部门预算收支说明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第三部分   其他说明情况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第四部分   公开报表</w:t>
      </w:r>
    </w:p>
    <w:p>
      <w:pPr>
        <w:spacing w:afterLines="1500"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（具体部门预算公开报表）</w:t>
      </w:r>
    </w:p>
    <w:p>
      <w:pPr>
        <w:spacing w:line="360" w:lineRule="auto"/>
        <w:ind w:firstLine="0" w:firstLineChars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第一部分  部门概况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一、部门主要职责及机构设置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1、贯彻执行国家城市建设、村镇建设、工程建设、建筑业、住宅与房地产业法律法规规章和政策。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2、负责保障城镇低收入家庭住房工作。拟定住房保障相关政策、发展规划和年度计划并指导实施；拟定廉租住房政策，会同有关部门做好中省有关廉租住房资金安排并组织实施。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3、负责推进住房制度改革工作。负责住房建设和住房制度改革，提出住房和城乡建设改革重大问题的建议，拟定适合市情的住房政策并组织实施。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负责规范房地产市场秩序、监督管理房地产市场工作。会同或配合有关部门组织拟定房地产市场监管政策并监督执行；指导城镇土地使用权有偿转让和开发利用工作；拟定房地产行业发展规划和产业政策，制定房地产权属管理、房屋租赁、房屋面积管理、房地产估价与经纪管理、物业管理、房屋拆迁的规范性文件并监督执行；负责房地产开发企业、房屋拆迁企业、物业管理企业、房屋中介组织资质审核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负责规范建筑市场各方主体行为和监督管理建筑市场工作。指导全市建筑业管理工作，组织实施房屋和建设工程项目招投标活动的监督管理；拟定施工、建设工程造价管理、建设监理规范性文件并监督实施；拟定工程建设、建筑业发展中长期规划并监督执行；拟定规范建筑市场各方主体行为的规范性文件并监督执行；组织协调建筑企业参与省外工程承包、建筑劳务合作；做好市区城市建设工程管理，指导县区城市建设工程的实施和管理工作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6、负责建筑工程质量安全监督工作。拟定建筑工程质量、建筑安全生产和竣工验收备案的规范性文件并监督执行；组织或参与工程重大质量、安全事故调查处理；拟定建筑业技术政策并指导实施。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7、负责规范、指导村镇建设管理工作。拟定村庄和小城镇建设规范性文件并指导实施；指导农村住房建设及危房改造；指导小城镇和村庄人居生态环境的改善工作；指导全市重点镇的建设。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8、负责推进建筑节能工作。负责落实建筑节能的政策、规划并监督实施；组织、指导重大建筑节能项目的实施工作。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、负责防震减灾管理和监督工作。组织拟定防震减灾规划、预案、年度工作计划和综合防御措施并组织实施；负责管理全市地震监测台网（站）建设和地震预报、震情速报等工作；负责建设工程抗震设防标准的管理工作；负责提供破坏性地震发生后抗震救灾应急方案；参与地震灾害调查与损失评估；参与制定地震灾害重建规划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10、承办市政府交办的其他事项。</w:t>
      </w:r>
    </w:p>
    <w:p>
      <w:pPr>
        <w:tabs>
          <w:tab w:val="left" w:pos="6643"/>
        </w:tabs>
        <w:spacing w:line="360" w:lineRule="auto"/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（二）机构设置</w:t>
      </w:r>
    </w:p>
    <w:p>
      <w:pPr>
        <w:tabs>
          <w:tab w:val="left" w:pos="6643"/>
        </w:tabs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本部门本级机关内设4个科室，分别是党政办公室、建筑业管理科、房地产管理和住房保障科、城镇建设科。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纳入本部门20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"/>
          <w:sz w:val="32"/>
          <w:szCs w:val="32"/>
        </w:rPr>
        <w:t>年部门预算编制的下属单位有7个，其中，副县级参公管理单位2个：商洛市市区工程建设处、商洛市房产管理局；科级全额拨款事业单位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个：商洛市防震减灾监测中心、商洛市建设工程造价管理站、商洛市建设工程质量安全监督中心站、商洛市建筑节能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发展中心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商洛市建设工程消防技术服务中心。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二、2022年度部门工作任务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1.加快环城西路项目，7月底前全线通车，9月底前照明绿化及附属设施全面建成并交付使用。2.全市城镇建设完成投资34.34亿元。全力推动三岔河、法官镇等9个省市乡村振兴示范镇建设，完成投资15.101亿元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。积极争取“县城建设先进县”创建。3.每年创建13个以上的省级美丽宜居示范村。推动实施县城基础设施补短板项目，各县县城建设完成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11.42亿元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4.明珠花园项目加快消防验收等项准备工作，6月底必须完成入住；完成住房租赁补贴发放3617户。5.深入抓好老旧小区改造项目，全面完成2022年全市1.6亿元94个老旧小区改造项目，全面完成市本级30部加装电梯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6.深入开展“共建美好家园”活动，创建省级物业示范小区2个以上。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7.推动新增纳规入统建筑业企业25户以上；全市建筑业产值完成156.3亿元，较上年增长20.01%。8.推动新增纳规入统房地产企业20家以上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;全市开发房地产项目41个，建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筑面积264万平方米，实现销售面积10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8万平方米，销售面积较2021年增长30%。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9.持续优化营商环境，政府投资项目和社会投资项目审批时限分别压缩至100个工作日、70个工作日；每个县区2022年至少有1个建设工程项目以标准地的形式供地。10.5月底前全面完成D级因灾致危房屋灾后重建任务。</w:t>
      </w:r>
    </w:p>
    <w:p>
      <w:pPr>
        <w:numPr>
          <w:numId w:val="0"/>
        </w:numPr>
        <w:spacing w:line="360" w:lineRule="auto"/>
        <w:ind w:firstLine="643" w:firstLineChars="200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三、部门预算单位 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从预算单位构成看，本部门的部门预算包括部门本级（机关）预算和所属事业单位预算。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纳入本部门2022年部门预算编制范围的二级预算单位共有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个,包括（见单位明细表）：</w:t>
      </w:r>
    </w:p>
    <w:tbl>
      <w:tblPr>
        <w:tblStyle w:val="5"/>
        <w:tblW w:w="12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6710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6710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4340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710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商洛市住房和城乡建设局</w:t>
            </w:r>
          </w:p>
        </w:tc>
        <w:tc>
          <w:tcPr>
            <w:tcW w:w="4340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2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商洛市市区工程建设处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3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商洛市建设工程质量安全监督中心站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4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商洛市建设工程造价管理站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5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商洛市防震减灾监测中心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6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商洛市房产管理局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7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商洛市建筑节能发展中心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position w:val="-1"/>
                <w:sz w:val="32"/>
              </w:rPr>
              <w:t>8</w:t>
            </w:r>
          </w:p>
        </w:tc>
        <w:tc>
          <w:tcPr>
            <w:tcW w:w="6710" w:type="dxa"/>
            <w:shd w:val="clear" w:color="auto" w:fill="auto"/>
          </w:tcPr>
          <w:p>
            <w:pPr>
              <w:ind w:firstLine="0" w:firstLineChars="0"/>
            </w:pPr>
            <w:r>
              <w:rPr>
                <w:rFonts w:ascii="仿宋" w:hAnsi="仿宋" w:eastAsia="仿宋" w:cs="仿宋"/>
                <w:position w:val="-1"/>
                <w:sz w:val="32"/>
              </w:rPr>
              <w:t>商洛市建设工程消防技术服务中心</w:t>
            </w:r>
          </w:p>
        </w:tc>
        <w:tc>
          <w:tcPr>
            <w:tcW w:w="4340" w:type="dxa"/>
            <w:shd w:val="clear" w:color="auto" w:fill="auto"/>
          </w:tcPr>
          <w:p>
            <w:pPr>
              <w:ind w:firstLine="640"/>
              <w:jc w:val="left"/>
            </w:pPr>
            <w:r>
              <w:rPr>
                <w:rFonts w:ascii="仿宋" w:hAnsi="仿宋" w:eastAsia="仿宋" w:cs="仿宋"/>
                <w:sz w:val="32"/>
                <w:szCs w:val="32"/>
              </w:rPr>
              <w:t>无</w:t>
            </w:r>
          </w:p>
        </w:tc>
      </w:tr>
    </w:tbl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四、部门人员情况说明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 2021年底，本部门人员编制89人，其中行政编制13人、事业编制76人；实有人员78人，其中行政17人、事业61人。单位管理的离退休人员11人。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6223000" cy="2378710"/>
            <wp:effectExtent l="19050" t="0" r="24977" b="2117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第二部分  收支情况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五、2022年部门预算收支说明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（一）收支预算总体情况。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综合预算的原则，本部门所有收入和支出均纳入部门预算管理。2022年本部门预算收入1275.39万元，其中一般公共预算拨款收入1275.39万元、政府性基金拨款收入0万元、上级补助收入0万元、事业收入0万元、事业单位经营收入0万元、对附属单位上缴收入0万元、用事业基金弥补收支差额0万元、上年结转0万元、上年实户资金余额0万元、其他收入0万元，2022年本部门预算收入较上年增加246.36万元，主要原因是本年增加4个专项业务经费预算；2022年本部门预算支出1275.39万元，其中一般公共预算拨款支出1275.39万元、政府性基金拨款支出0万元、事业收入0万元、事业单位经营收入0万元、对附属单位上缴收入0万元、上年实户资金余额0万元、其他收入0万元、上年结转0万元，2022年本部门预算支出较上年增加246.36万元，主要原因是本年增加4个专项业务经费预算。</w:t>
      </w:r>
    </w:p>
    <w:p>
      <w:pPr>
        <w:spacing w:line="360" w:lineRule="auto"/>
        <w:ind w:firstLine="643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财政拨款收入1275.39万元，其中一般公共预算拨款收入1275.39万元、政府性基金拨款收入0万元、上年结转0万元，2022年本部门财政拨款收入较上年增加246.36万元，主要原因是本年增加4个专项业务经费预算；2022年本部门财政拨款支出1275.39万元，其中一般公共预算拨款支出1275.39万元、政府性基金拨款支出0万元、上年结转0万元，2022年本部门财政拨款支出较上年增加246.36万元，主要原因是本年增加4个专项业务经费预算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（三）一般公共预算拨款支出明细情况。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1、一般公共预算当年拨款规模变化情况。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2022年本部门当年一般公共预算拨款支出1275.39万元，较上年增加246.36万元，主要原因是本年增加4个专项业务经费预算。</w:t>
      </w:r>
    </w:p>
    <w:p>
      <w:pPr>
        <w:spacing w:line="360" w:lineRule="auto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2、支出按功能科目分类的明细情况。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2022年本部门当年一般公共预算支出1275.39万元，其中：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（1）培训支出（2050803）0万元，较上年减少0.15万元，原因是培训费的预算调整至行政运行科目。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（2）行政单位离退休（2080501）0.27万元，均属公用经费支出，较上年增加0.27万元，原因是退休人员变动。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（3）事业单位离退休（2080502）0.03万元，均属公用经费支出，较上年减少0.21万元，原因是退休人员变动。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（4）机关事业单位基本养老保险缴费支出（2080505）102.55万元，均属人员经费支出，较上年增加42.05万元，原因是机构改革人员发生变化引起，上年年初预算不含</w:t>
      </w:r>
      <w:r>
        <w:rPr>
          <w:rFonts w:ascii="仿宋" w:hAnsi="仿宋" w:eastAsia="仿宋" w:cs="仿宋"/>
          <w:position w:val="-1"/>
          <w:sz w:val="32"/>
        </w:rPr>
        <w:t>商洛市建设工程消防技术服务中心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（5）机关事业单位职业年金缴费支出（2080506）51.27万元，均属人员经费支出，较上年增加21.02万元，原因是机构改革人员发生变化引起。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（6）行政单位医疗（2101101）26.31万元，均属人员经费支出，较上年增加17.54万元，原因是机构改革人员发生变化引起。   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（7）事业单位医疗（2101102）79.46万元，均属人员经费支出，较上年增加54.27万元，原因是机构改革人员发生变化引起。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（8）行政运行（2120101）782.26万元，含人员经费支出668.18万元，公用经费支出114.08万元，较上年减少74.11万元，原因是机构改革人员发生变化引起。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其他城乡社区管理事务支出（2120199）155万元，均属专项业务经费支出，较上年增加155万元，原因是本年预算增加4个专项业务经费，分别是地震监测台网运行、工程造价信息网络（设备）维护建设、商洛市房产管理局交易中心项目、建设工程消防设计审查及检查项目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（10）住房公积金（2210201）78.24万元，均属人员经费，较上年增加32.03万元，原因是机构改革人员发生变化引起。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5486400" cy="3263900"/>
            <wp:effectExtent l="19050" t="0" r="1905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3、支出按经济科目分类的明细情况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（1）按照部门预算支出经济分类的类级科目说明。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2022年本部门当年一般公共预算支出1275.39万元。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工资福利支出（301）970.3万元，属人员经费，较上年增加51.18万元，原因是机构改革人员变动引起。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商品和服务支出（302）253.54万元，包含人员经费34.15万元、公用经费114.39万元，专项业务经费支出105万元。较上年增加144.4万元，原因是本年预算增加专项业务经费105万元，分别是地震监测台网运行20万、商洛市房产管理局交易中心项目85万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对个人和家庭的补助（303）1.56万元，属人员经费，较上年增加0.78万元，原因是预算遗属生活补助增加。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资本性支出（基本建设）（309）50</w:t>
      </w:r>
      <w:r>
        <w:rPr>
          <w:rFonts w:ascii="仿宋" w:hAnsi="仿宋" w:eastAsia="仿宋" w:cs="仿宋"/>
          <w:sz w:val="32"/>
          <w:szCs w:val="32"/>
        </w:rPr>
        <w:t>万元，均属</w:t>
      </w:r>
      <w:r>
        <w:rPr>
          <w:rFonts w:hint="eastAsia" w:ascii="仿宋" w:hAnsi="仿宋" w:eastAsia="仿宋" w:cs="仿宋"/>
          <w:sz w:val="32"/>
          <w:szCs w:val="32"/>
        </w:rPr>
        <w:t>专项业务经费支出，较上年增加50万元，原因是本年预算增加专项业务经费50万，分别是工程造价信息网络（设备）维护建设10万、建设工程消防设计审查及检查项目40万。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7939405" cy="2555875"/>
            <wp:effectExtent l="19050" t="0" r="23283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36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（2）按照政府预算支出经济分类的类级科目说明。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2022年本部门当年一般公共预算支出1275.39万元。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机关工资福利支出（501）515.57万元，均属人员经费，较上年增加39.2万元，原因是工资正常调薪增加。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机关商品和服务支出（502）183.43万元，含人员经费34.15万元，公用经费64.28万元，专项业务经费85万元，较上年增加104.16元，原因是局机关公用经费预算增加，下属单位增加房产管理局交易中心项目专项业务经费。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对事业单位经常性补助（505）524.83万元，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含人员经费454.73万元，公用经费50.1万元，</w:t>
      </w:r>
      <w:r>
        <w:rPr>
          <w:rFonts w:hint="eastAsia" w:ascii="仿宋" w:hAnsi="仿宋" w:eastAsia="仿宋" w:cs="仿宋"/>
          <w:sz w:val="32"/>
          <w:szCs w:val="32"/>
        </w:rPr>
        <w:t>较上年增加52.22万元，原因是下属事业单位人员公用经费预算增加，另外增加地震监测台网运行专项业务经费。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对事业单位资本性补助（506）50万元，</w:t>
      </w:r>
      <w:r>
        <w:rPr>
          <w:rFonts w:ascii="仿宋" w:hAnsi="仿宋" w:eastAsia="仿宋" w:cs="仿宋"/>
          <w:sz w:val="32"/>
          <w:szCs w:val="32"/>
        </w:rPr>
        <w:t>均属</w:t>
      </w:r>
      <w:r>
        <w:rPr>
          <w:rFonts w:hint="eastAsia" w:ascii="仿宋" w:hAnsi="仿宋" w:eastAsia="仿宋" w:cs="仿宋"/>
          <w:sz w:val="32"/>
          <w:szCs w:val="32"/>
        </w:rPr>
        <w:t>专项业务经费支出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较上年增加50万元，原因是下属事业单增加位工程造价信息网络（设备）维护建设、建设工程消防设计审查及检查费项目。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对个人和家庭的补助（509）1.56万元，均属人员经费，较上年增加0.78万元，</w:t>
      </w:r>
      <w:r>
        <w:rPr>
          <w:rFonts w:hint="eastAsia" w:ascii="仿宋" w:hAnsi="仿宋" w:eastAsia="仿宋" w:cs="仿宋"/>
          <w:sz w:val="32"/>
          <w:szCs w:val="32"/>
        </w:rPr>
        <w:t>原因是预算遗属生活补助增加。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8331200" cy="1955800"/>
            <wp:effectExtent l="19050" t="0" r="12488" b="6139"/>
            <wp:docPr id="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4、上年结转财政资金一般公共预算拨款支出情况。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本部门无2021年结转的一般公共预算拨款支出。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按功能支出分类：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1年结转的一般公共预算拨款资金支出。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按部门预算支出经济分类：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1年结转的一般公共预算拨款资金支出。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按政府预算支出经济分类：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1年结转的一般公共预算拨款资金支出。</w:t>
      </w:r>
    </w:p>
    <w:p>
      <w:pPr>
        <w:numPr>
          <w:ilvl w:val="0"/>
          <w:numId w:val="2"/>
        </w:numPr>
        <w:spacing w:line="360" w:lineRule="auto"/>
        <w:ind w:firstLine="64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政府性基金预算支出情况。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1、当年政府性基金预算支出情况。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本部门无当年政府性基金预算收支，并已公开空表。</w:t>
      </w:r>
    </w:p>
    <w:p>
      <w:pPr>
        <w:numPr>
          <w:ilvl w:val="0"/>
          <w:numId w:val="3"/>
        </w:num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上年结转政府性基金预算支出情况。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本部门无2021年结转的政府性基金预算拨款支出。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（五）国有资本经营预算拨款收支情况。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本部门无当年国有资本经营预算拨款收支，并在财政拨款收支总体情况表中列示。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1年结转的国有资本经营预算拨款支出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第三部分  其他说明情况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六、部门预算“三公”经费等预算情况说明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“三公”经费预算支出5.71万元，较上年增加0.71万元（14.2%），增加的主要原因是公务用车运行维护费预算增加。其中：因公出国（境）经费0万元，较上年无增减变动，主要原因是2021年和2022年本部门均无此项经费预算；公务接待费费1.21万元，较上年减少0.79万元（39.5%），主要原因是2021年和2022年本部门均无此项经费预算；公务用车运行维护费4.5万元，较上年增加1.5万元（50%），增加的主要原因是公务车辆编制增加，按综合预算定额标准及实际情况预算；公务用车购置费0万元，较上年无增减变动，主要原因是2021年和2022年本部门均无此项经费预算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本部门无2021年结转的财政拨款“三公”经费支出。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2022年本部门当年一般公共预算安排会议费支出5万元，较上年减少2.1万元，减少的主要原因是业务类会议减少。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2022年本部门当年一般公共预算安排培训费支出1.5万元，较上年减少0万元，主要原因是2021年和2022年本部门按照实际工作情况预算。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本部门无2021年结转的财政拨款会议费支出，本部门无2021年结转的财政拨款培训费支出。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年底，本部门所属预算单位共有车辆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辆，单价20万元以上的设备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台（套）。2022年当年部门预算安排购置车辆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辆；安排购置单价20万元以上的设备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本部门无2021年结转的财政拨款支出资产购置。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本部门2022年无政府采购预算，并已公开空表。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1年结转的政府采购资金支出。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2022年本部门绩效目标管理全覆盖，涉及当年一般公共预算拨款1275.39万元,当年政府性基金预算拨款0万元，当年国有资本经营预算拨款0万元（详见公开报表中的绩效目标表）。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本部门无2021年结转的财政拨款支出涉及的绩效目标管理。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本部门当年机关运行经费预算安排64.28万元，较上年减少8.28万元，主要原因是局机关办公经费预算减少。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本部门无2021年结转的财政拨款机关运行费支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出。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十一、专业名词解释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机关运行经费: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第四部分  公开报表</w:t>
      </w:r>
    </w:p>
    <w:p>
      <w:pPr>
        <w:spacing w:line="360" w:lineRule="auto"/>
        <w:ind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(具体部门预算公开报表)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789C7"/>
    <w:multiLevelType w:val="singleLevel"/>
    <w:tmpl w:val="8B8789C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91D06A9"/>
    <w:multiLevelType w:val="singleLevel"/>
    <w:tmpl w:val="991D06A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C083C22"/>
    <w:multiLevelType w:val="singleLevel"/>
    <w:tmpl w:val="1C083C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xOWFmNDRjZGE4ZjZiOTE3MWMzYTIyOTU0OWQwZTMifQ=="/>
  </w:docVars>
  <w:rsids>
    <w:rsidRoot w:val="00172A27"/>
    <w:rsid w:val="0002500C"/>
    <w:rsid w:val="000F2FF0"/>
    <w:rsid w:val="001706FD"/>
    <w:rsid w:val="00172A27"/>
    <w:rsid w:val="001B1ABC"/>
    <w:rsid w:val="001D0C45"/>
    <w:rsid w:val="001F1EC2"/>
    <w:rsid w:val="00235651"/>
    <w:rsid w:val="002A2E89"/>
    <w:rsid w:val="00333B8A"/>
    <w:rsid w:val="00414EB3"/>
    <w:rsid w:val="004D2882"/>
    <w:rsid w:val="00562713"/>
    <w:rsid w:val="005F722C"/>
    <w:rsid w:val="0066529D"/>
    <w:rsid w:val="00680D06"/>
    <w:rsid w:val="00685BBE"/>
    <w:rsid w:val="007155B3"/>
    <w:rsid w:val="00807632"/>
    <w:rsid w:val="00817C7C"/>
    <w:rsid w:val="008507B6"/>
    <w:rsid w:val="008F3075"/>
    <w:rsid w:val="009E704B"/>
    <w:rsid w:val="00AD60FD"/>
    <w:rsid w:val="00C372EB"/>
    <w:rsid w:val="00CA26EC"/>
    <w:rsid w:val="00CE11C6"/>
    <w:rsid w:val="00CF211D"/>
    <w:rsid w:val="00D35442"/>
    <w:rsid w:val="00E3296C"/>
    <w:rsid w:val="00E567DE"/>
    <w:rsid w:val="00E57791"/>
    <w:rsid w:val="00EA1AD3"/>
    <w:rsid w:val="00EA7E17"/>
    <w:rsid w:val="00ED1665"/>
    <w:rsid w:val="00F13B71"/>
    <w:rsid w:val="00F86BD8"/>
    <w:rsid w:val="00FA4355"/>
    <w:rsid w:val="00FD0C79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671024"/>
    <w:rsid w:val="050C7A05"/>
    <w:rsid w:val="05A651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BF2E48"/>
    <w:rsid w:val="0BC70C0A"/>
    <w:rsid w:val="0BC817E1"/>
    <w:rsid w:val="0BCE6852"/>
    <w:rsid w:val="0BEA54A6"/>
    <w:rsid w:val="0C284A48"/>
    <w:rsid w:val="0C3D305A"/>
    <w:rsid w:val="0CB963C1"/>
    <w:rsid w:val="0D247F78"/>
    <w:rsid w:val="0D2E4E0F"/>
    <w:rsid w:val="0D3C0CD1"/>
    <w:rsid w:val="0DEB13DD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B3097A"/>
    <w:rsid w:val="11C346FF"/>
    <w:rsid w:val="11F0044E"/>
    <w:rsid w:val="12082FE5"/>
    <w:rsid w:val="129E1223"/>
    <w:rsid w:val="12B7265B"/>
    <w:rsid w:val="12F8536A"/>
    <w:rsid w:val="135107D4"/>
    <w:rsid w:val="13C723C5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620741"/>
    <w:rsid w:val="1AE02592"/>
    <w:rsid w:val="1B0165C9"/>
    <w:rsid w:val="1B092C9F"/>
    <w:rsid w:val="1B332B6A"/>
    <w:rsid w:val="1B5A5061"/>
    <w:rsid w:val="1B8E63BA"/>
    <w:rsid w:val="1BC933DC"/>
    <w:rsid w:val="1C097D46"/>
    <w:rsid w:val="1C320E66"/>
    <w:rsid w:val="1C5A1287"/>
    <w:rsid w:val="1CB164B9"/>
    <w:rsid w:val="1D02380A"/>
    <w:rsid w:val="1E48774E"/>
    <w:rsid w:val="1E6B3FC4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995172"/>
    <w:rsid w:val="29AC1283"/>
    <w:rsid w:val="29D53111"/>
    <w:rsid w:val="2AA47CD5"/>
    <w:rsid w:val="2ADC1299"/>
    <w:rsid w:val="2AE757FB"/>
    <w:rsid w:val="2BD81239"/>
    <w:rsid w:val="2BE56461"/>
    <w:rsid w:val="2BE75DCA"/>
    <w:rsid w:val="2BF85692"/>
    <w:rsid w:val="2C0256C6"/>
    <w:rsid w:val="2C522B76"/>
    <w:rsid w:val="2C913CE0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DB385B"/>
    <w:rsid w:val="31DD756F"/>
    <w:rsid w:val="32162B6A"/>
    <w:rsid w:val="322466F2"/>
    <w:rsid w:val="322B447F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8C59E9"/>
    <w:rsid w:val="3EA143D4"/>
    <w:rsid w:val="3EA47316"/>
    <w:rsid w:val="3EA97755"/>
    <w:rsid w:val="3F093323"/>
    <w:rsid w:val="3FAF3CF4"/>
    <w:rsid w:val="40302CD6"/>
    <w:rsid w:val="40453022"/>
    <w:rsid w:val="406D7247"/>
    <w:rsid w:val="415C72B5"/>
    <w:rsid w:val="41772DBC"/>
    <w:rsid w:val="419817D0"/>
    <w:rsid w:val="41A526D8"/>
    <w:rsid w:val="41E9687E"/>
    <w:rsid w:val="41EB27B6"/>
    <w:rsid w:val="424E670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8507CF"/>
    <w:rsid w:val="49C71BF8"/>
    <w:rsid w:val="49DB1DA7"/>
    <w:rsid w:val="49EA7890"/>
    <w:rsid w:val="4A2E50B4"/>
    <w:rsid w:val="4A737AF5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595550"/>
    <w:rsid w:val="50946C81"/>
    <w:rsid w:val="512131A2"/>
    <w:rsid w:val="51470A03"/>
    <w:rsid w:val="516A4FB3"/>
    <w:rsid w:val="51F65B1F"/>
    <w:rsid w:val="521A4417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623216"/>
    <w:rsid w:val="57221542"/>
    <w:rsid w:val="57654D9E"/>
    <w:rsid w:val="579A73D0"/>
    <w:rsid w:val="57DE5F38"/>
    <w:rsid w:val="582A051D"/>
    <w:rsid w:val="58365A33"/>
    <w:rsid w:val="58474568"/>
    <w:rsid w:val="58782A3A"/>
    <w:rsid w:val="58D041BE"/>
    <w:rsid w:val="58D7523F"/>
    <w:rsid w:val="59403102"/>
    <w:rsid w:val="5A2E77B0"/>
    <w:rsid w:val="5A680DB8"/>
    <w:rsid w:val="5A8F6603"/>
    <w:rsid w:val="5BA5743E"/>
    <w:rsid w:val="5C144EDC"/>
    <w:rsid w:val="5C41710B"/>
    <w:rsid w:val="5CBB387E"/>
    <w:rsid w:val="5D3A3A85"/>
    <w:rsid w:val="5DFF123C"/>
    <w:rsid w:val="5EC657DB"/>
    <w:rsid w:val="5EC76337"/>
    <w:rsid w:val="5F6647E2"/>
    <w:rsid w:val="5FA95A4A"/>
    <w:rsid w:val="60406BEA"/>
    <w:rsid w:val="60CA4AE0"/>
    <w:rsid w:val="61156B4C"/>
    <w:rsid w:val="61B34AA8"/>
    <w:rsid w:val="62086EF2"/>
    <w:rsid w:val="62115B05"/>
    <w:rsid w:val="62156E36"/>
    <w:rsid w:val="6264243B"/>
    <w:rsid w:val="6290516E"/>
    <w:rsid w:val="62B820F9"/>
    <w:rsid w:val="631B3431"/>
    <w:rsid w:val="632E70DC"/>
    <w:rsid w:val="63BE25E3"/>
    <w:rsid w:val="640B356D"/>
    <w:rsid w:val="646F76DC"/>
    <w:rsid w:val="6471725A"/>
    <w:rsid w:val="64E14BAA"/>
    <w:rsid w:val="655B2797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E353EA"/>
    <w:rsid w:val="6A280AEF"/>
    <w:rsid w:val="6A5228EE"/>
    <w:rsid w:val="6A5D4D68"/>
    <w:rsid w:val="6B0E0D59"/>
    <w:rsid w:val="6B5C3B33"/>
    <w:rsid w:val="6BE5385D"/>
    <w:rsid w:val="6BF71691"/>
    <w:rsid w:val="6C0C625C"/>
    <w:rsid w:val="6C6B29CE"/>
    <w:rsid w:val="6C944F20"/>
    <w:rsid w:val="6CC658B0"/>
    <w:rsid w:val="6D273C74"/>
    <w:rsid w:val="6D9C4121"/>
    <w:rsid w:val="6DCA4784"/>
    <w:rsid w:val="6DCB1BF8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9B5F68"/>
    <w:rsid w:val="7B7E7CC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toc 7"/>
    <w:basedOn w:val="1"/>
    <w:next w:val="1"/>
    <w:qFormat/>
    <w:uiPriority w:val="99"/>
    <w:pPr>
      <w:ind w:firstLine="643"/>
    </w:pPr>
    <w:rPr>
      <w:rFonts w:ascii="黑体" w:hAnsi="黑体" w:eastAsia="黑体" w:cs="仿宋_GB2312"/>
      <w:b/>
      <w:sz w:val="32"/>
      <w:szCs w:val="32"/>
    </w:rPr>
  </w:style>
  <w:style w:type="paragraph" w:styleId="4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0429BP\Desktop\&#24050;&#21457;&#30340;22&#24180;&#20844;&#24320;\&#23457;&#35745;&#23616;\&#21103;&#26412;&#26609;&#24418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0429BP\Desktop\&#24050;&#21457;&#30340;22&#24180;&#20844;&#24320;\&#23457;&#35745;&#23616;\&#21103;&#26412;&#26609;&#24418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0429BP\Desktop\&#24050;&#21457;&#30340;22&#24180;&#20844;&#24320;\&#23457;&#35745;&#23616;\&#21103;&#26412;&#26609;&#24418;&#2227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0429BP\Desktop\&#24050;&#21457;&#30340;22&#24180;&#20844;&#24320;\&#23457;&#35745;&#23616;\&#21103;&#26412;&#26609;&#24418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0429BP\Desktop\&#24050;&#21457;&#30340;22&#24180;&#20844;&#24320;\&#23457;&#35745;&#23616;\&#21103;&#26412;&#26609;&#24418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仿宋" panose="02010609060101010101" pitchFamily="3" charset="-122"/>
                <a:ea typeface="仿宋" panose="02010609060101010101" pitchFamily="3" charset="-122"/>
                <a:cs typeface="+mn-cs"/>
              </a:defRPr>
            </a:pPr>
            <a:r>
              <a:rPr lang="zh-CN" altLang="en-US" sz="1800" b="1" i="0" u="none" strike="noStrike" baseline="0" smtClean="0"/>
              <a:t>人员结构图（单位：人） </a:t>
            </a:r>
            <a:endParaRPr lang="zh-CN" alt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人员结构图!$H$6</c:f>
              <c:strCache>
                <c:ptCount val="1"/>
                <c:pt idx="0">
                  <c:v>实有</c:v>
                </c:pt>
              </c:strCache>
            </c:strRef>
          </c:tx>
          <c:invertIfNegative val="0"/>
          <c:dLbls>
            <c:delete val="1"/>
          </c:dLbls>
          <c:cat>
            <c:strRef>
              <c:f>人员结构图!$G$7:$G$9</c:f>
              <c:strCache>
                <c:ptCount val="3"/>
                <c:pt idx="0">
                  <c:v>行政人员</c:v>
                </c:pt>
                <c:pt idx="1">
                  <c:v>事业人员</c:v>
                </c:pt>
                <c:pt idx="2">
                  <c:v>离退休人员</c:v>
                </c:pt>
              </c:strCache>
            </c:strRef>
          </c:cat>
          <c:val>
            <c:numRef>
              <c:f>人员结构图!$H$7:$H$9</c:f>
              <c:numCache>
                <c:formatCode>General</c:formatCode>
                <c:ptCount val="3"/>
                <c:pt idx="0">
                  <c:v>17</c:v>
                </c:pt>
                <c:pt idx="1">
                  <c:v>61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人员结构图!$I$6</c:f>
              <c:strCache>
                <c:ptCount val="1"/>
                <c:pt idx="0">
                  <c:v>编制</c:v>
                </c:pt>
              </c:strCache>
            </c:strRef>
          </c:tx>
          <c:invertIfNegative val="0"/>
          <c:dLbls>
            <c:delete val="1"/>
          </c:dLbls>
          <c:cat>
            <c:strRef>
              <c:f>人员结构图!$G$7:$G$9</c:f>
              <c:strCache>
                <c:ptCount val="3"/>
                <c:pt idx="0">
                  <c:v>行政人员</c:v>
                </c:pt>
                <c:pt idx="1">
                  <c:v>事业人员</c:v>
                </c:pt>
                <c:pt idx="2">
                  <c:v>离退休人员</c:v>
                </c:pt>
              </c:strCache>
            </c:strRef>
          </c:cat>
          <c:val>
            <c:numRef>
              <c:f>人员结构图!$I$7:$I$9</c:f>
              <c:numCache>
                <c:formatCode>General</c:formatCode>
                <c:ptCount val="3"/>
                <c:pt idx="0">
                  <c:v>13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49632"/>
        <c:axId val="77551488"/>
      </c:barChart>
      <c:catAx>
        <c:axId val="77349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仿宋" panose="02010609060101010101" pitchFamily="3" charset="-122"/>
                <a:ea typeface="仿宋" panose="02010609060101010101" pitchFamily="3" charset="-122"/>
                <a:cs typeface="+mn-cs"/>
              </a:defRPr>
            </a:pPr>
          </a:p>
        </c:txPr>
        <c:crossAx val="77551488"/>
        <c:crosses val="autoZero"/>
        <c:auto val="1"/>
        <c:lblAlgn val="ctr"/>
        <c:lblOffset val="100"/>
        <c:noMultiLvlLbl val="0"/>
      </c:catAx>
      <c:valAx>
        <c:axId val="7755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仿宋" panose="02010609060101010101" pitchFamily="3" charset="-122"/>
                <a:ea typeface="仿宋" panose="02010609060101010101" pitchFamily="3" charset="-122"/>
                <a:cs typeface="+mn-cs"/>
              </a:defRPr>
            </a:pPr>
          </a:p>
        </c:txPr>
        <c:crossAx val="7734963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solidFill>
        <a:schemeClr val="accent5"/>
      </a:solidFill>
      <a:prstDash val="solid"/>
      <a:round/>
    </a:ln>
  </c:spPr>
  <c:txPr>
    <a:bodyPr/>
    <a:lstStyle/>
    <a:p>
      <a:pPr>
        <a:defRPr lang="zh-CN" baseline="0">
          <a:latin typeface="仿宋" panose="02010609060101010101" pitchFamily="3" charset="-122"/>
          <a:ea typeface="仿宋" panose="02010609060101010101" pitchFamily="3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/>
              <a:t>一般公共预算拨款规模（单位：万元）</a:t>
            </a:r>
            <a:endParaRPr lang="zh-CN" alt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'1'!$A$4:$A$5</c:f>
              <c:strCache>
                <c:ptCount val="2"/>
                <c:pt idx="0">
                  <c:v>当年一般公共预算拨款</c:v>
                </c:pt>
                <c:pt idx="1">
                  <c:v>上年一般公共预算拨款</c:v>
                </c:pt>
              </c:strCache>
            </c:strRef>
          </c:cat>
          <c:val>
            <c:numRef>
              <c:f>'1'!$B$4:$B$5</c:f>
              <c:numCache>
                <c:formatCode>General</c:formatCode>
                <c:ptCount val="2"/>
                <c:pt idx="0">
                  <c:v>1275.39</c:v>
                </c:pt>
                <c:pt idx="1">
                  <c:v>1029.03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7860864"/>
        <c:axId val="78222080"/>
      </c:barChart>
      <c:catAx>
        <c:axId val="778608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8222080"/>
        <c:crosses val="autoZero"/>
        <c:auto val="1"/>
        <c:lblAlgn val="ctr"/>
        <c:lblOffset val="100"/>
        <c:noMultiLvlLbl val="0"/>
      </c:catAx>
      <c:valAx>
        <c:axId val="78222080"/>
        <c:scaling>
          <c:orientation val="minMax"/>
          <c:min val="3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7860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000" b="1" i="0" baseline="0"/>
              <a:t>按功能科目分类支出（单位：万元</a:t>
            </a:r>
            <a:endParaRPr lang="zh-CN" altLang="zh-CN" sz="1000"/>
          </a:p>
        </c:rich>
      </c:tx>
      <c:layout>
        <c:manualLayout>
          <c:xMode val="edge"/>
          <c:yMode val="edge"/>
          <c:x val="0.668121847109043"/>
          <c:y val="0.287018917155904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1"/>
              <c:layout>
                <c:manualLayout>
                  <c:x val="-0.0855399368734323"/>
                  <c:y val="0.04418540148234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0815191319944"/>
                  <c:y val="0.09632468886594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70883481677712"/>
                  <c:y val="-0.01725503490145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3144411954327"/>
                  <c:y val="-0.06148512257885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98080384014862"/>
                  <c:y val="-0.08140925877416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32964382071566"/>
                  <c:y val="-0.0903200456107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07052010669795"/>
                  <c:y val="-0.0080263083552912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_);\(#,##0.00\)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multiLvlStrRef>
              <c:f>Sheet4!$D$2:$E$10</c:f>
              <c:multiLvlStrCache>
                <c:ptCount val="9"/>
                <c:lvl>
                  <c:pt idx="0">
                    <c:v>行政单位离退休</c:v>
                  </c:pt>
                  <c:pt idx="1">
                    <c:v>事业单位离退休</c:v>
                  </c:pt>
                  <c:pt idx="2">
                    <c:v>机关事业单位基本养老保险缴费支出</c:v>
                  </c:pt>
                  <c:pt idx="3">
                    <c:v>机关事业单位职业年金缴费支出</c:v>
                  </c:pt>
                  <c:pt idx="4">
                    <c:v>行政单位医疗</c:v>
                  </c:pt>
                  <c:pt idx="5">
                    <c:v>事业单位医疗</c:v>
                  </c:pt>
                  <c:pt idx="6">
                    <c:v>行政运行</c:v>
                  </c:pt>
                  <c:pt idx="7">
                    <c:v>其他城乡社区管理事务支出</c:v>
                  </c:pt>
                  <c:pt idx="8">
                    <c:v>住房公积金</c:v>
                  </c:pt>
                </c:lvl>
                <c:lvl>
                  <c:pt idx="0">
                    <c:v>2080501</c:v>
                  </c:pt>
                  <c:pt idx="1">
                    <c:v>2080502</c:v>
                  </c:pt>
                  <c:pt idx="2">
                    <c:v>2080505</c:v>
                  </c:pt>
                  <c:pt idx="3">
                    <c:v>2080506</c:v>
                  </c:pt>
                  <c:pt idx="4">
                    <c:v>2101101</c:v>
                  </c:pt>
                  <c:pt idx="5">
                    <c:v>2101102</c:v>
                  </c:pt>
                  <c:pt idx="6">
                    <c:v>2120101</c:v>
                  </c:pt>
                  <c:pt idx="7">
                    <c:v>2120199</c:v>
                  </c:pt>
                  <c:pt idx="8">
                    <c:v>2210201</c:v>
                  </c:pt>
                </c:lvl>
              </c:multiLvlStrCache>
            </c:multiLvlStrRef>
          </c:cat>
          <c:val>
            <c:numRef>
              <c:f>Sheet4!$F$2:$F$10</c:f>
              <c:numCache>
                <c:formatCode>General</c:formatCode>
                <c:ptCount val="9"/>
                <c:pt idx="0">
                  <c:v>0.27</c:v>
                </c:pt>
                <c:pt idx="1">
                  <c:v>0.03</c:v>
                </c:pt>
                <c:pt idx="2">
                  <c:v>102.55</c:v>
                </c:pt>
                <c:pt idx="3">
                  <c:v>51.27</c:v>
                </c:pt>
                <c:pt idx="4">
                  <c:v>26.31</c:v>
                </c:pt>
                <c:pt idx="5">
                  <c:v>79.46</c:v>
                </c:pt>
                <c:pt idx="6">
                  <c:v>782.26</c:v>
                </c:pt>
                <c:pt idx="7">
                  <c:v>155</c:v>
                </c:pt>
                <c:pt idx="8">
                  <c:v>78.24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200" b="1" i="0" baseline="0"/>
              <a:t>按</a:t>
            </a:r>
            <a:r>
              <a:rPr lang="zh-CN" altLang="en-US" sz="1200" b="1" i="0" baseline="0"/>
              <a:t>部门</a:t>
            </a:r>
            <a:r>
              <a:rPr lang="zh-CN" altLang="zh-CN" sz="1200" b="1" i="0" baseline="0"/>
              <a:t>预算支出经济分类（单位：万元）</a:t>
            </a:r>
            <a:endParaRPr lang="zh-CN" altLang="zh-CN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'1'!$A$61:$B$64</c:f>
              <c:multiLvlStrCache>
                <c:ptCount val="4"/>
                <c:lvl>
                  <c:pt idx="0">
                    <c:v>工资福利支出</c:v>
                  </c:pt>
                  <c:pt idx="1">
                    <c:v>商品和服务支出</c:v>
                  </c:pt>
                  <c:pt idx="2">
                    <c:v>对个人和家庭的补助</c:v>
                  </c:pt>
                  <c:pt idx="3">
                    <c:v>资本性支出(基本建设)</c:v>
                  </c:pt>
                </c:lvl>
                <c:lvl>
                  <c:pt idx="0">
                    <c:v>301</c:v>
                  </c:pt>
                  <c:pt idx="1">
                    <c:v>302</c:v>
                  </c:pt>
                  <c:pt idx="2">
                    <c:v>303</c:v>
                  </c:pt>
                  <c:pt idx="3">
                    <c:v>309</c:v>
                  </c:pt>
                </c:lvl>
              </c:multiLvlStrCache>
            </c:multiLvlStrRef>
          </c:cat>
          <c:val>
            <c:numRef>
              <c:f>'1'!$C$61:$C$64</c:f>
              <c:numCache>
                <c:formatCode>General</c:formatCode>
                <c:ptCount val="4"/>
                <c:pt idx="0">
                  <c:v>970.29</c:v>
                </c:pt>
                <c:pt idx="1">
                  <c:v>253.54</c:v>
                </c:pt>
                <c:pt idx="2">
                  <c:v>1.56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56608"/>
        <c:axId val="80003840"/>
      </c:barChart>
      <c:catAx>
        <c:axId val="79956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0003840"/>
        <c:crosses val="autoZero"/>
        <c:auto val="1"/>
        <c:lblAlgn val="ctr"/>
        <c:lblOffset val="100"/>
        <c:noMultiLvlLbl val="0"/>
      </c:catAx>
      <c:valAx>
        <c:axId val="80003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9956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/>
              <a:t>按政府预算支出经济分类（单位：万元）</a:t>
            </a:r>
            <a:endParaRPr lang="zh-CN" alt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'1'!$A$39:$B$44</c:f>
              <c:multiLvlStrCache>
                <c:ptCount val="6"/>
                <c:lvl>
                  <c:pt idx="0">
                    <c:v>机关工资福利支出</c:v>
                  </c:pt>
                  <c:pt idx="1">
                    <c:v>机关商品和服务支出</c:v>
                  </c:pt>
                  <c:pt idx="2">
                    <c:v>机关资本性支出（二）</c:v>
                  </c:pt>
                  <c:pt idx="3">
                    <c:v>对事业单位经常性补助</c:v>
                  </c:pt>
                  <c:pt idx="4">
                    <c:v>对事业单位资本性补助</c:v>
                  </c:pt>
                  <c:pt idx="5">
                    <c:v>对个人和家庭的补助</c:v>
                  </c:pt>
                </c:lvl>
                <c:lvl>
                  <c:pt idx="0">
                    <c:v>501</c:v>
                  </c:pt>
                  <c:pt idx="1">
                    <c:v>502</c:v>
                  </c:pt>
                  <c:pt idx="2">
                    <c:v>504</c:v>
                  </c:pt>
                  <c:pt idx="3">
                    <c:v>505</c:v>
                  </c:pt>
                  <c:pt idx="4">
                    <c:v>506</c:v>
                  </c:pt>
                  <c:pt idx="5">
                    <c:v>509</c:v>
                  </c:pt>
                </c:lvl>
              </c:multiLvlStrCache>
            </c:multiLvlStrRef>
          </c:cat>
          <c:val>
            <c:numRef>
              <c:f>'1'!$C$39:$C$44</c:f>
              <c:numCache>
                <c:formatCode>General</c:formatCode>
                <c:ptCount val="6"/>
                <c:pt idx="0">
                  <c:v>515.57</c:v>
                </c:pt>
                <c:pt idx="1">
                  <c:v>183.43</c:v>
                </c:pt>
                <c:pt idx="3">
                  <c:v>524.83</c:v>
                </c:pt>
                <c:pt idx="4">
                  <c:v>50</c:v>
                </c:pt>
                <c:pt idx="5">
                  <c:v>1.56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455872"/>
        <c:axId val="115462912"/>
      </c:barChart>
      <c:catAx>
        <c:axId val="113455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462912"/>
        <c:crosses val="autoZero"/>
        <c:auto val="1"/>
        <c:lblAlgn val="ctr"/>
        <c:lblOffset val="100"/>
        <c:noMultiLvlLbl val="0"/>
      </c:catAx>
      <c:valAx>
        <c:axId val="115462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34558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481002-4EB6-4E48-BE21-7F3E0951E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5406</Words>
  <Characters>6017</Characters>
  <Lines>41</Lines>
  <Paragraphs>11</Paragraphs>
  <TotalTime>11</TotalTime>
  <ScaleCrop>false</ScaleCrop>
  <LinksUpToDate>false</LinksUpToDate>
  <CharactersWithSpaces>6082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2022-05-14T04:20:00Z</dcterms:created>
  <dc:creator>郭超(拟稿)</dc:creator>
  <cp:lastModifiedBy>彭彭 </cp:lastModifiedBy>
  <cp:lastPrinted>2022-05-17T07:30:55Z</cp:lastPrinted>
  <dcterms:modified xsi:type="dcterms:W3CDTF">2022-05-17T09:25:11Z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7CE2437D55F34FB38FFB4D42703B11D7</vt:lpwstr>
  </property>
</Properties>
</file>