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洛南县中田永恒供热有限公司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91611021MA70T2TH7T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陕西省商洛市洛南县四皓街道办抚龙湾社区热力公司厂区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胡垒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0914-7776969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中供热、锅炉安装及技术服务、热力工程设计、施工及技术服务、供暖设备、换热设备销售、安装及技术服务、锅炉销售、供热管理咨询、管道建设、原煤加工与销售、商务信息服务、管道热源配置、管道维护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颗粒物、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SO2、NOX、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其他特征污染物（汞及其化合物,林格曼黑度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）、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氨氮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COD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其他特征污染物（硫化物,氟化物（以F-计）,悬浮物,pH值,总汞,总镉,总砷,总铅,石油类,挥发酚,溶解性总固体,总磷（以P计）,动植物油,五日生化需氧量）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烟囱、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污水排放口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sz w:val="24"/>
                <w:szCs w:val="24"/>
                <w:lang w:eastAsia="zh-CN"/>
              </w:rPr>
              <w:t>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：6.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957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t/a,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总氮（以N计）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13.03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t/a,氮氧化物：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现处于停产状态、生产期间废水回收利用未外排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环评手续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2017年12月洛南县环境保护局对《关于洛南县县城集中供热项目环境影响报告书的批复》进行批复，文号：【2017】257号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2022年5月商洛市生态环境局发放，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编号91611021MA70T2TH7T001V，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有效期限：自2022年05月14日起至2027年05月13日止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配备有应急救援物资库，贮备有防火、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烧伤等救援物资。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2022年5月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在商洛市生态环境局洛南县分局备案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《洛南县中田永恒供热有限公司突发环境事件应急预案》，备案号:611021-2022-131-L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0" w:lineRule="atLeas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企业事业单位环境信息公开表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洛南县中田永恒供热有限公司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91611021MA70T2TH7T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陕西省商洛市洛南县四皓街道办抚龙湾社区热力公司厂区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胡垒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0914-7776969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中供热、锅炉安装及技术服务、热力工程设计、施工及技术服务、供暖设备、换热设备销售、安装及技术服务、锅炉销售、供热管理咨询、管道建设、原煤加工与销售、商务信息服务、管道热源配置、管道维护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1009"/>
        <w:gridCol w:w="706"/>
        <w:gridCol w:w="379"/>
        <w:gridCol w:w="838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污水排放口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经度：110°11′0.10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，纬度：34°7′10.99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连续排放，进入城市污水处理厂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6-9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总磷（以P计）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氨氮（NH3-N）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45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悬浮物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DW002雨水排放口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110°6′29.63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，纬度：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34°4′16.25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间断排放，进入城市下水道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化学需氧量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pH值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悬浮物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烟囱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经度：110°6′29.27″，纬度：34°4′14.56″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6.</w:t>
            </w:r>
            <w:r>
              <w:rPr>
                <w:rStyle w:val="6"/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957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SO2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9.65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NOx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13.03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灰渣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1761.84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脱硫石膏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2159.59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污水处理设施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石灰石/石灰-石膏法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低氮燃烧+（SNCR-SCR联合）脱硝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袋式除尘器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洛南县县城集中供热项目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2017年12月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洛环发【2017】257号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洛南县环境保护局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2019年04月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商洛市生态环境局洛南县分局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9、监督与管理</w:t>
            </w:r>
          </w:p>
          <w:p>
            <w:pPr>
              <w:spacing w:line="3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4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OTQ0OTQyNGQ5M2FlZjMxZWY2MTI0MTg4MGRlODAifQ=="/>
  </w:docVars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2A1178E"/>
    <w:rsid w:val="033A7980"/>
    <w:rsid w:val="03E37CED"/>
    <w:rsid w:val="04921BA3"/>
    <w:rsid w:val="098C7F81"/>
    <w:rsid w:val="09EE3710"/>
    <w:rsid w:val="0A056D4B"/>
    <w:rsid w:val="0C337593"/>
    <w:rsid w:val="0C7173D3"/>
    <w:rsid w:val="0D2838AD"/>
    <w:rsid w:val="0D5F3290"/>
    <w:rsid w:val="0D886BD7"/>
    <w:rsid w:val="0E3C1CCB"/>
    <w:rsid w:val="0EC14482"/>
    <w:rsid w:val="0F0F5866"/>
    <w:rsid w:val="11290C5D"/>
    <w:rsid w:val="112E02FA"/>
    <w:rsid w:val="113A06F4"/>
    <w:rsid w:val="118B5AD6"/>
    <w:rsid w:val="119654BE"/>
    <w:rsid w:val="123E0D2E"/>
    <w:rsid w:val="129A124C"/>
    <w:rsid w:val="135E3453"/>
    <w:rsid w:val="13A85E50"/>
    <w:rsid w:val="14D67CD8"/>
    <w:rsid w:val="156670AB"/>
    <w:rsid w:val="15FA7856"/>
    <w:rsid w:val="16A135AF"/>
    <w:rsid w:val="175372AA"/>
    <w:rsid w:val="18033333"/>
    <w:rsid w:val="184864F8"/>
    <w:rsid w:val="18522F76"/>
    <w:rsid w:val="185F480A"/>
    <w:rsid w:val="19C553D6"/>
    <w:rsid w:val="1AAC61B5"/>
    <w:rsid w:val="1DB652FA"/>
    <w:rsid w:val="1F31003B"/>
    <w:rsid w:val="1FA672D2"/>
    <w:rsid w:val="1FD53D5E"/>
    <w:rsid w:val="22877F02"/>
    <w:rsid w:val="23385CD8"/>
    <w:rsid w:val="23BE5F46"/>
    <w:rsid w:val="24FF6B12"/>
    <w:rsid w:val="2523168C"/>
    <w:rsid w:val="2541393C"/>
    <w:rsid w:val="25635E49"/>
    <w:rsid w:val="278B23EE"/>
    <w:rsid w:val="2B325ADE"/>
    <w:rsid w:val="2C293F03"/>
    <w:rsid w:val="2CB93816"/>
    <w:rsid w:val="2D542A17"/>
    <w:rsid w:val="2D5C4E8C"/>
    <w:rsid w:val="2E174BB7"/>
    <w:rsid w:val="2E773DF8"/>
    <w:rsid w:val="2E807459"/>
    <w:rsid w:val="2FFC7C4A"/>
    <w:rsid w:val="30567B0B"/>
    <w:rsid w:val="30EB1278"/>
    <w:rsid w:val="322F1D9F"/>
    <w:rsid w:val="32E406C6"/>
    <w:rsid w:val="33540C46"/>
    <w:rsid w:val="336952D9"/>
    <w:rsid w:val="33E509C4"/>
    <w:rsid w:val="35956BF6"/>
    <w:rsid w:val="36C450EA"/>
    <w:rsid w:val="36E4570C"/>
    <w:rsid w:val="38764AB1"/>
    <w:rsid w:val="39E7368D"/>
    <w:rsid w:val="3A23794F"/>
    <w:rsid w:val="3BF16F66"/>
    <w:rsid w:val="3C431B5B"/>
    <w:rsid w:val="3C683F1D"/>
    <w:rsid w:val="3EFE1167"/>
    <w:rsid w:val="3EFF0DE7"/>
    <w:rsid w:val="3FE1257F"/>
    <w:rsid w:val="3FFA381F"/>
    <w:rsid w:val="400E0FA4"/>
    <w:rsid w:val="42027D07"/>
    <w:rsid w:val="4298644F"/>
    <w:rsid w:val="42E53001"/>
    <w:rsid w:val="451B16FB"/>
    <w:rsid w:val="45D27E9B"/>
    <w:rsid w:val="466269BF"/>
    <w:rsid w:val="47FA65A7"/>
    <w:rsid w:val="483A536B"/>
    <w:rsid w:val="484C2C4F"/>
    <w:rsid w:val="4C8F2674"/>
    <w:rsid w:val="4CBA3672"/>
    <w:rsid w:val="4D280422"/>
    <w:rsid w:val="4D873269"/>
    <w:rsid w:val="4F491003"/>
    <w:rsid w:val="50CE26AB"/>
    <w:rsid w:val="5394605A"/>
    <w:rsid w:val="53CE29C2"/>
    <w:rsid w:val="54545ACC"/>
    <w:rsid w:val="556C60B3"/>
    <w:rsid w:val="55DF5368"/>
    <w:rsid w:val="58FB500B"/>
    <w:rsid w:val="591C15B3"/>
    <w:rsid w:val="5BE33ACC"/>
    <w:rsid w:val="5C60272B"/>
    <w:rsid w:val="5D663FF7"/>
    <w:rsid w:val="5F62370B"/>
    <w:rsid w:val="5F8E78C0"/>
    <w:rsid w:val="5FEF335D"/>
    <w:rsid w:val="60D45B6B"/>
    <w:rsid w:val="64837576"/>
    <w:rsid w:val="65067B4F"/>
    <w:rsid w:val="662F136D"/>
    <w:rsid w:val="66B87515"/>
    <w:rsid w:val="67F5329B"/>
    <w:rsid w:val="69A9376B"/>
    <w:rsid w:val="6A6E52BC"/>
    <w:rsid w:val="6A9E6E7B"/>
    <w:rsid w:val="6AB542B4"/>
    <w:rsid w:val="6B12762A"/>
    <w:rsid w:val="70792114"/>
    <w:rsid w:val="70B0259F"/>
    <w:rsid w:val="70CB2B67"/>
    <w:rsid w:val="70E960D8"/>
    <w:rsid w:val="7172232C"/>
    <w:rsid w:val="71A46D2F"/>
    <w:rsid w:val="73A722CC"/>
    <w:rsid w:val="742B7B9B"/>
    <w:rsid w:val="79387870"/>
    <w:rsid w:val="79B338D7"/>
    <w:rsid w:val="79F842AA"/>
    <w:rsid w:val="7B1C0B89"/>
    <w:rsid w:val="7DEE3C1C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"/>
    <w:basedOn w:val="8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8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0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4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5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6">
    <w:name w:val="正文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1740</Words>
  <Characters>2050</Characters>
  <Lines>19</Lines>
  <Paragraphs>5</Paragraphs>
  <TotalTime>0</TotalTime>
  <ScaleCrop>false</ScaleCrop>
  <LinksUpToDate>false</LinksUpToDate>
  <CharactersWithSpaces>2090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廖翔</cp:lastModifiedBy>
  <cp:lastPrinted>2015-11-23T01:16:00Z</cp:lastPrinted>
  <dcterms:modified xsi:type="dcterms:W3CDTF">2022-06-24T08:20:47Z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3895ED5F32C84FBB9E4F8766A77268EB</vt:lpwstr>
  </property>
</Properties>
</file>