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default" w:ascii="方正小标宋简体" w:hAnsi="幼圆" w:eastAsia="方正小标宋简体" w:cs="幼圆"/>
          <w:b w:val="0"/>
          <w:bCs w:val="0"/>
          <w:spacing w:val="19"/>
          <w:w w:val="103"/>
          <w:sz w:val="44"/>
          <w:szCs w:val="44"/>
          <w:lang w:val="en-US" w:eastAsia="zh-CN"/>
          <w14:textOutline w14:w="6172" w14:cap="flat" w14:cmpd="sng" w14:algn="ctr">
            <w14:solidFill>
              <w14:srgbClr w14:val="000000"/>
            </w14:solidFill>
            <w14:prstDash w14:val="solid"/>
            <w14:miter w14:val="0"/>
          </w14:textOutline>
        </w:rPr>
      </w:pPr>
      <w:r>
        <w:rPr>
          <w:rFonts w:hint="eastAsia" w:ascii="方正小标宋简体" w:hAnsi="幼圆" w:eastAsia="方正小标宋简体" w:cs="幼圆"/>
          <w:b w:val="0"/>
          <w:bCs w:val="0"/>
          <w:spacing w:val="19"/>
          <w:w w:val="103"/>
          <w:sz w:val="44"/>
          <w:szCs w:val="44"/>
          <w14:textOutline w14:w="6172" w14:cap="flat" w14:cmpd="sng" w14:algn="ctr">
            <w14:solidFill>
              <w14:srgbClr w14:val="000000"/>
            </w14:solidFill>
            <w14:prstDash w14:val="solid"/>
            <w14:miter w14:val="0"/>
          </w14:textOutline>
        </w:rPr>
        <w:t>商洛市</w:t>
      </w:r>
      <w:r>
        <w:rPr>
          <w:rFonts w:hint="eastAsia" w:ascii="方正小标宋简体" w:hAnsi="幼圆" w:eastAsia="方正小标宋简体" w:cs="幼圆"/>
          <w:b w:val="0"/>
          <w:bCs w:val="0"/>
          <w:spacing w:val="19"/>
          <w:w w:val="103"/>
          <w:sz w:val="44"/>
          <w:szCs w:val="44"/>
          <w:lang w:val="en-US" w:eastAsia="zh-CN"/>
          <w14:textOutline w14:w="6172" w14:cap="flat" w14:cmpd="sng" w14:algn="ctr">
            <w14:solidFill>
              <w14:srgbClr w14:val="000000"/>
            </w14:solidFill>
            <w14:prstDash w14:val="solid"/>
            <w14:miter w14:val="0"/>
          </w14:textOutline>
        </w:rPr>
        <w:t>住房公积金管理中心</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ascii="方正小标宋简体" w:hAnsi="幼圆" w:eastAsia="方正小标宋简体" w:cs="幼圆"/>
          <w:b w:val="0"/>
          <w:bCs w:val="0"/>
          <w:sz w:val="44"/>
          <w:szCs w:val="44"/>
        </w:rPr>
      </w:pPr>
      <w:r>
        <w:rPr>
          <w:rFonts w:hint="eastAsia" w:ascii="方正小标宋简体" w:hAnsi="幼圆" w:eastAsia="方正小标宋简体" w:cs="幼圆"/>
          <w:b w:val="0"/>
          <w:bCs w:val="0"/>
          <w:spacing w:val="19"/>
          <w:w w:val="103"/>
          <w:sz w:val="44"/>
          <w:szCs w:val="44"/>
          <w14:textOutline w14:w="6172" w14:cap="flat" w14:cmpd="sng" w14:algn="ctr">
            <w14:solidFill>
              <w14:srgbClr w14:val="000000"/>
            </w14:solidFill>
            <w14:prstDash w14:val="solid"/>
            <w14:miter w14:val="0"/>
          </w14:textOutline>
        </w:rPr>
        <w:t>2022年部门综合预算</w:t>
      </w:r>
    </w:p>
    <w:p>
      <w:pPr>
        <w:spacing w:line="329" w:lineRule="auto"/>
        <w:rPr>
          <w:rFonts w:hint="eastAsia" w:ascii="仿宋_GB2312" w:hAnsi="仿宋_GB2312" w:eastAsia="仿宋_GB2312" w:cs="仿宋_GB2312"/>
          <w:sz w:val="32"/>
          <w:szCs w:val="32"/>
        </w:rPr>
      </w:pPr>
    </w:p>
    <w:p>
      <w:pPr>
        <w:spacing w:before="124" w:line="221" w:lineRule="auto"/>
        <w:ind w:firstLine="3740"/>
        <w:rPr>
          <w:rFonts w:hint="eastAsia" w:ascii="黑体" w:hAnsi="黑体" w:eastAsia="黑体" w:cs="黑体"/>
          <w:b/>
          <w:bCs/>
          <w:sz w:val="32"/>
          <w:szCs w:val="32"/>
        </w:rPr>
      </w:pPr>
      <w:r>
        <w:rPr>
          <w:rFonts w:hint="eastAsia" w:ascii="黑体" w:hAnsi="黑体" w:eastAsia="黑体" w:cs="黑体"/>
          <w:b/>
          <w:bCs/>
          <w:spacing w:val="-37"/>
          <w:w w:val="98"/>
          <w:sz w:val="32"/>
          <w:szCs w:val="32"/>
        </w:rPr>
        <w:t>目</w:t>
      </w:r>
      <w:r>
        <w:rPr>
          <w:rFonts w:hint="eastAsia" w:ascii="黑体" w:hAnsi="黑体" w:eastAsia="黑体" w:cs="黑体"/>
          <w:b/>
          <w:bCs/>
          <w:spacing w:val="179"/>
          <w:sz w:val="32"/>
          <w:szCs w:val="32"/>
        </w:rPr>
        <w:t xml:space="preserve"> </w:t>
      </w:r>
      <w:r>
        <w:rPr>
          <w:rFonts w:hint="eastAsia" w:ascii="黑体" w:hAnsi="黑体" w:eastAsia="黑体" w:cs="黑体"/>
          <w:b/>
          <w:bCs/>
          <w:spacing w:val="-37"/>
          <w:w w:val="98"/>
          <w:sz w:val="32"/>
          <w:szCs w:val="32"/>
        </w:rPr>
        <w:t>录</w:t>
      </w:r>
    </w:p>
    <w:p>
      <w:pPr>
        <w:spacing w:before="129" w:line="221" w:lineRule="auto"/>
        <w:ind w:firstLine="4"/>
        <w:rPr>
          <w:rFonts w:hint="eastAsia" w:ascii="黑体" w:hAnsi="黑体" w:eastAsia="黑体" w:cs="黑体"/>
          <w:b w:val="0"/>
          <w:bCs w:val="0"/>
          <w:sz w:val="32"/>
          <w:szCs w:val="32"/>
        </w:rPr>
      </w:pPr>
      <w:r>
        <w:rPr>
          <w:rFonts w:hint="eastAsia" w:ascii="黑体" w:hAnsi="黑体" w:eastAsia="黑体" w:cs="黑体"/>
          <w:b w:val="0"/>
          <w:bCs w:val="0"/>
          <w:spacing w:val="-2"/>
          <w:sz w:val="32"/>
          <w:szCs w:val="32"/>
          <w14:textOutline w14:w="6172" w14:cap="flat" w14:cmpd="sng" w14:algn="ctr">
            <w14:solidFill>
              <w14:srgbClr w14:val="000000"/>
            </w14:solidFill>
            <w14:prstDash w14:val="solid"/>
            <w14:miter w14:val="0"/>
          </w14:textOutline>
        </w:rPr>
        <w:t>第一部分部门概况</w:t>
      </w:r>
    </w:p>
    <w:p>
      <w:pPr>
        <w:spacing w:before="274" w:line="219"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2"/>
          <w:sz w:val="32"/>
          <w:szCs w:val="32"/>
        </w:rPr>
        <w:t>一、部门主要职责及机构设置</w:t>
      </w:r>
    </w:p>
    <w:p>
      <w:pPr>
        <w:spacing w:before="178" w:line="219"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1"/>
          <w:sz w:val="32"/>
          <w:szCs w:val="32"/>
        </w:rPr>
        <w:t>二、2022年部门工作任务</w:t>
      </w:r>
    </w:p>
    <w:p>
      <w:pPr>
        <w:spacing w:before="177" w:line="219"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9"/>
          <w:sz w:val="32"/>
          <w:szCs w:val="32"/>
        </w:rPr>
        <w:t>三、部门预算单位构成</w:t>
      </w:r>
    </w:p>
    <w:p>
      <w:pPr>
        <w:spacing w:before="176" w:line="219"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3"/>
          <w:sz w:val="32"/>
          <w:szCs w:val="32"/>
        </w:rPr>
        <w:t>四、部门人员情况说明</w:t>
      </w:r>
    </w:p>
    <w:p>
      <w:pPr>
        <w:spacing w:before="177" w:line="219" w:lineRule="auto"/>
        <w:ind w:firstLine="4"/>
        <w:rPr>
          <w:rFonts w:hint="eastAsia" w:ascii="黑体" w:hAnsi="黑体" w:eastAsia="黑体" w:cs="黑体"/>
          <w:b w:val="0"/>
          <w:bCs w:val="0"/>
          <w:sz w:val="32"/>
          <w:szCs w:val="32"/>
        </w:rPr>
      </w:pPr>
      <w:r>
        <w:rPr>
          <w:rFonts w:hint="eastAsia" w:ascii="黑体" w:hAnsi="黑体" w:eastAsia="黑体" w:cs="黑体"/>
          <w:b w:val="0"/>
          <w:bCs w:val="0"/>
          <w:spacing w:val="-2"/>
          <w:sz w:val="32"/>
          <w:szCs w:val="32"/>
          <w14:textOutline w14:w="6172" w14:cap="flat" w14:cmpd="sng" w14:algn="ctr">
            <w14:solidFill>
              <w14:srgbClr w14:val="000000"/>
            </w14:solidFill>
            <w14:prstDash w14:val="solid"/>
            <w14:miter w14:val="0"/>
          </w14:textOutline>
        </w:rPr>
        <w:t>第二部分收支情况</w:t>
      </w:r>
    </w:p>
    <w:p>
      <w:pPr>
        <w:spacing w:before="297" w:line="219"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3"/>
          <w:sz w:val="32"/>
          <w:szCs w:val="32"/>
        </w:rPr>
        <w:t>五、2022年部门预算收支说明</w:t>
      </w:r>
    </w:p>
    <w:p>
      <w:pPr>
        <w:spacing w:before="144" w:line="221" w:lineRule="auto"/>
        <w:ind w:firstLine="4"/>
        <w:rPr>
          <w:rFonts w:hint="eastAsia" w:ascii="黑体" w:hAnsi="黑体" w:eastAsia="黑体" w:cs="黑体"/>
          <w:b w:val="0"/>
          <w:bCs w:val="0"/>
          <w:sz w:val="32"/>
          <w:szCs w:val="32"/>
        </w:rPr>
      </w:pPr>
      <w:r>
        <w:rPr>
          <w:rFonts w:hint="eastAsia" w:ascii="黑体" w:hAnsi="黑体" w:eastAsia="黑体" w:cs="黑体"/>
          <w:b w:val="0"/>
          <w:bCs w:val="0"/>
          <w:spacing w:val="-6"/>
          <w:sz w:val="32"/>
          <w:szCs w:val="32"/>
          <w14:textOutline w14:w="6172" w14:cap="flat" w14:cmpd="sng" w14:algn="ctr">
            <w14:solidFill>
              <w14:srgbClr w14:val="000000"/>
            </w14:solidFill>
            <w14:prstDash w14:val="solid"/>
            <w14:miter w14:val="0"/>
          </w14:textOutline>
        </w:rPr>
        <w:t>第三部分其他说明情况</w:t>
      </w:r>
    </w:p>
    <w:p>
      <w:pPr>
        <w:spacing w:before="276" w:line="219"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
          <w:sz w:val="32"/>
          <w:szCs w:val="32"/>
        </w:rPr>
        <w:t>六、部门预算"三公"经费等情况说明</w:t>
      </w:r>
    </w:p>
    <w:p>
      <w:pPr>
        <w:spacing w:before="196" w:line="219"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0"/>
          <w:sz w:val="32"/>
          <w:szCs w:val="32"/>
        </w:rPr>
        <w:t>七、部门国有资产占有使用及资产购置情况说明</w:t>
      </w:r>
    </w:p>
    <w:p>
      <w:pPr>
        <w:spacing w:before="196" w:line="219"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2"/>
          <w:sz w:val="32"/>
          <w:szCs w:val="32"/>
        </w:rPr>
        <w:t>八、部门政府采购情况说明</w:t>
      </w:r>
    </w:p>
    <w:p>
      <w:pPr>
        <w:spacing w:before="198" w:line="219"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0"/>
          <w:sz w:val="32"/>
          <w:szCs w:val="32"/>
        </w:rPr>
        <w:t>九、部门预算绩效目标说明</w:t>
      </w:r>
    </w:p>
    <w:p>
      <w:pPr>
        <w:spacing w:before="194" w:line="273" w:lineRule="auto"/>
        <w:ind w:right="4649"/>
        <w:rPr>
          <w:rFonts w:hint="eastAsia" w:ascii="仿宋_GB2312" w:hAnsi="仿宋_GB2312" w:eastAsia="仿宋_GB2312" w:cs="仿宋_GB2312"/>
          <w:b w:val="0"/>
          <w:bCs w:val="0"/>
          <w:spacing w:val="5"/>
          <w:sz w:val="32"/>
          <w:szCs w:val="32"/>
        </w:rPr>
      </w:pPr>
      <w:r>
        <w:rPr>
          <w:rFonts w:hint="eastAsia" w:ascii="仿宋_GB2312" w:hAnsi="仿宋_GB2312" w:eastAsia="仿宋_GB2312" w:cs="仿宋_GB2312"/>
          <w:b w:val="0"/>
          <w:bCs w:val="0"/>
          <w:spacing w:val="-20"/>
          <w:sz w:val="32"/>
          <w:szCs w:val="32"/>
        </w:rPr>
        <w:t>十、机关运行经费安排说明</w:t>
      </w:r>
      <w:r>
        <w:rPr>
          <w:rFonts w:hint="eastAsia" w:ascii="仿宋_GB2312" w:hAnsi="仿宋_GB2312" w:eastAsia="仿宋_GB2312" w:cs="仿宋_GB2312"/>
          <w:b w:val="0"/>
          <w:bCs w:val="0"/>
          <w:spacing w:val="5"/>
          <w:sz w:val="32"/>
          <w:szCs w:val="32"/>
        </w:rPr>
        <w:t xml:space="preserve"> </w:t>
      </w:r>
    </w:p>
    <w:p>
      <w:pPr>
        <w:spacing w:before="194" w:line="273" w:lineRule="auto"/>
        <w:ind w:right="464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0"/>
          <w:sz w:val="32"/>
          <w:szCs w:val="32"/>
        </w:rPr>
        <w:t>十一、专业名词解释</w:t>
      </w:r>
    </w:p>
    <w:p>
      <w:pPr>
        <w:spacing w:before="197" w:line="219" w:lineRule="auto"/>
        <w:ind w:firstLine="4"/>
        <w:rPr>
          <w:rFonts w:hint="eastAsia" w:ascii="黑体" w:hAnsi="黑体" w:eastAsia="黑体" w:cs="黑体"/>
          <w:b w:val="0"/>
          <w:bCs w:val="0"/>
          <w:sz w:val="32"/>
          <w:szCs w:val="32"/>
        </w:rPr>
      </w:pPr>
      <w:r>
        <w:rPr>
          <w:rFonts w:hint="eastAsia" w:ascii="黑体" w:hAnsi="黑体" w:eastAsia="黑体" w:cs="黑体"/>
          <w:b w:val="0"/>
          <w:bCs w:val="0"/>
          <w:spacing w:val="-2"/>
          <w:sz w:val="32"/>
          <w:szCs w:val="32"/>
          <w14:textOutline w14:w="6172" w14:cap="flat" w14:cmpd="sng" w14:algn="ctr">
            <w14:solidFill>
              <w14:srgbClr w14:val="000000"/>
            </w14:solidFill>
            <w14:prstDash w14:val="solid"/>
            <w14:miter w14:val="0"/>
          </w14:textOutline>
        </w:rPr>
        <w:t>第四部分公开报表</w:t>
      </w:r>
    </w:p>
    <w:p>
      <w:pPr>
        <w:spacing w:before="258" w:line="219" w:lineRule="auto"/>
        <w:ind w:firstLine="170"/>
        <w:rPr>
          <w:rFonts w:hint="eastAsia" w:ascii="仿宋_GB2312" w:hAnsi="仿宋_GB2312" w:eastAsia="仿宋_GB2312" w:cs="仿宋_GB2312"/>
          <w:b w:val="0"/>
          <w:bCs w:val="0"/>
          <w:sz w:val="32"/>
          <w:szCs w:val="32"/>
          <w:lang w:eastAsia="zh-CN"/>
        </w:rPr>
        <w:sectPr>
          <w:footerReference r:id="rId3" w:type="default"/>
          <w:pgSz w:w="11900" w:h="16830"/>
          <w:pgMar w:top="2098" w:right="1474" w:bottom="1984" w:left="1587" w:header="0" w:footer="729" w:gutter="0"/>
          <w:cols w:space="720" w:num="1"/>
        </w:sectPr>
      </w:pPr>
      <w:r>
        <w:rPr>
          <w:rFonts w:hint="eastAsia" w:ascii="仿宋_GB2312" w:hAnsi="仿宋_GB2312" w:eastAsia="仿宋_GB2312" w:cs="仿宋_GB2312"/>
          <w:b w:val="0"/>
          <w:bCs w:val="0"/>
          <w:spacing w:val="-16"/>
          <w:sz w:val="32"/>
          <w:szCs w:val="32"/>
        </w:rPr>
        <w:t>(具体部门预算公开报表)</w:t>
      </w:r>
    </w:p>
    <w:p>
      <w:pPr>
        <w:jc w:val="center"/>
        <w:rPr>
          <w:rFonts w:hint="eastAsia" w:ascii="黑体" w:hAnsi="黑体" w:eastAsia="黑体" w:cs="黑体"/>
          <w:sz w:val="32"/>
          <w:szCs w:val="32"/>
        </w:rPr>
      </w:pPr>
      <w:r>
        <w:rPr>
          <w:rFonts w:hint="eastAsia" w:ascii="黑体" w:hAnsi="黑体" w:eastAsia="黑体" w:cs="黑体"/>
          <w:sz w:val="32"/>
          <w:szCs w:val="32"/>
        </w:rPr>
        <w:t>第一部分部门概况</w:t>
      </w:r>
    </w:p>
    <w:p>
      <w:pPr>
        <w:keepNext w:val="0"/>
        <w:keepLines w:val="0"/>
        <w:pageBreakBefore w:val="0"/>
        <w:wordWrap/>
        <w:overflowPunct/>
        <w:topLinePunct w:val="0"/>
        <w:bidi w:val="0"/>
        <w:spacing w:line="540" w:lineRule="exact"/>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一、部门主要职责及机构设置</w:t>
      </w:r>
    </w:p>
    <w:p>
      <w:pPr>
        <w:pStyle w:val="3"/>
        <w:keepNext w:val="0"/>
        <w:keepLines w:val="0"/>
        <w:pageBreakBefore w:val="0"/>
        <w:wordWrap/>
        <w:overflowPunct/>
        <w:topLinePunct w:val="0"/>
        <w:bidi w:val="0"/>
        <w:spacing w:line="540" w:lineRule="exact"/>
        <w:ind w:left="626"/>
        <w:jc w:val="left"/>
        <w:rPr>
          <w:rFonts w:ascii="楷体" w:hAnsi="楷体" w:eastAsia="楷体" w:cs="楷体"/>
          <w:b/>
          <w:bCs/>
          <w:szCs w:val="28"/>
        </w:rPr>
      </w:pPr>
      <w:r>
        <w:rPr>
          <w:rFonts w:hint="eastAsia" w:ascii="楷体" w:hAnsi="楷体" w:eastAsia="楷体" w:cs="楷体"/>
          <w:b/>
          <w:bCs/>
          <w:szCs w:val="28"/>
        </w:rPr>
        <w:t>（一）部门主要职责</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商洛市住房公积金管理中心是隶属市人民政府、参照公务员制度管理的事业单位，其主要职能是：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20" w:firstLineChars="200"/>
        <w:jc w:val="both"/>
        <w:textAlignment w:val="auto"/>
      </w:pPr>
      <w:r>
        <w:rPr>
          <w:rFonts w:hint="eastAsia" w:ascii="仿宋" w:hAnsi="仿宋" w:eastAsia="仿宋" w:cs="仿宋"/>
          <w:b w:val="0"/>
          <w:bCs w:val="0"/>
          <w:i w:val="0"/>
          <w:iCs w:val="0"/>
          <w:caps w:val="0"/>
          <w:color w:val="000000"/>
          <w:spacing w:val="0"/>
          <w:sz w:val="31"/>
          <w:szCs w:val="31"/>
          <w:lang w:val="en-US" w:eastAsia="zh-CN"/>
        </w:rPr>
        <w:t>1.</w:t>
      </w:r>
      <w:r>
        <w:rPr>
          <w:rFonts w:ascii="仿宋" w:hAnsi="仿宋" w:eastAsia="仿宋" w:cs="仿宋"/>
          <w:b w:val="0"/>
          <w:bCs w:val="0"/>
          <w:i w:val="0"/>
          <w:iCs w:val="0"/>
          <w:caps w:val="0"/>
          <w:color w:val="000000"/>
          <w:spacing w:val="0"/>
          <w:sz w:val="31"/>
          <w:szCs w:val="31"/>
        </w:rPr>
        <w:t>贯彻执行《住房公积金管理条例》和相关政策规定，负责编制、执行全市住房公积金的归集、使用计划，编报计划执行情况的报告。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20" w:firstLineChars="200"/>
        <w:jc w:val="both"/>
        <w:textAlignment w:val="auto"/>
      </w:pPr>
      <w:r>
        <w:rPr>
          <w:rFonts w:hint="eastAsia" w:ascii="仿宋" w:hAnsi="仿宋" w:eastAsia="仿宋" w:cs="仿宋"/>
          <w:b w:val="0"/>
          <w:bCs w:val="0"/>
          <w:i w:val="0"/>
          <w:iCs w:val="0"/>
          <w:caps w:val="0"/>
          <w:color w:val="000000"/>
          <w:spacing w:val="0"/>
          <w:sz w:val="31"/>
          <w:szCs w:val="31"/>
          <w:lang w:val="en-US" w:eastAsia="zh-CN"/>
        </w:rPr>
        <w:t>2.</w:t>
      </w:r>
      <w:r>
        <w:rPr>
          <w:rFonts w:hint="eastAsia" w:ascii="仿宋" w:hAnsi="仿宋" w:eastAsia="仿宋" w:cs="仿宋"/>
          <w:b w:val="0"/>
          <w:bCs w:val="0"/>
          <w:i w:val="0"/>
          <w:iCs w:val="0"/>
          <w:caps w:val="0"/>
          <w:color w:val="000000"/>
          <w:spacing w:val="0"/>
          <w:sz w:val="31"/>
          <w:szCs w:val="31"/>
        </w:rPr>
        <w:t>负责记载全市职工住房公积金的缴存、提取、使用等情况。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20" w:firstLineChars="200"/>
        <w:jc w:val="both"/>
        <w:textAlignment w:val="auto"/>
      </w:pPr>
      <w:r>
        <w:rPr>
          <w:rFonts w:hint="eastAsia" w:ascii="仿宋" w:hAnsi="仿宋" w:eastAsia="仿宋" w:cs="仿宋"/>
          <w:b w:val="0"/>
          <w:bCs w:val="0"/>
          <w:i w:val="0"/>
          <w:iCs w:val="0"/>
          <w:caps w:val="0"/>
          <w:color w:val="000000"/>
          <w:spacing w:val="0"/>
          <w:sz w:val="31"/>
          <w:szCs w:val="31"/>
          <w:lang w:val="en-US" w:eastAsia="zh-CN"/>
        </w:rPr>
        <w:t>3.</w:t>
      </w:r>
      <w:r>
        <w:rPr>
          <w:rFonts w:hint="eastAsia" w:ascii="仿宋" w:hAnsi="仿宋" w:eastAsia="仿宋" w:cs="仿宋"/>
          <w:b w:val="0"/>
          <w:bCs w:val="0"/>
          <w:i w:val="0"/>
          <w:iCs w:val="0"/>
          <w:caps w:val="0"/>
          <w:color w:val="000000"/>
          <w:spacing w:val="0"/>
          <w:sz w:val="31"/>
          <w:szCs w:val="31"/>
        </w:rPr>
        <w:t>负责编制全市住房公积金的年度预决算，经市财政部门审核，提交市住房公积金管理委员会审议通过后组织执行。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20" w:firstLineChars="200"/>
        <w:jc w:val="both"/>
        <w:textAlignment w:val="auto"/>
      </w:pPr>
      <w:r>
        <w:rPr>
          <w:rFonts w:hint="eastAsia" w:ascii="仿宋" w:hAnsi="仿宋" w:eastAsia="仿宋" w:cs="仿宋"/>
          <w:b w:val="0"/>
          <w:bCs w:val="0"/>
          <w:i w:val="0"/>
          <w:iCs w:val="0"/>
          <w:caps w:val="0"/>
          <w:color w:val="000000"/>
          <w:spacing w:val="0"/>
          <w:sz w:val="31"/>
          <w:szCs w:val="31"/>
          <w:lang w:val="en-US" w:eastAsia="zh-CN"/>
        </w:rPr>
        <w:t>4.</w:t>
      </w:r>
      <w:r>
        <w:rPr>
          <w:rFonts w:hint="eastAsia" w:ascii="仿宋" w:hAnsi="仿宋" w:eastAsia="仿宋" w:cs="仿宋"/>
          <w:b w:val="0"/>
          <w:bCs w:val="0"/>
          <w:i w:val="0"/>
          <w:iCs w:val="0"/>
          <w:caps w:val="0"/>
          <w:color w:val="000000"/>
          <w:spacing w:val="0"/>
          <w:sz w:val="31"/>
          <w:szCs w:val="31"/>
        </w:rPr>
        <w:t>负责全市住房公积金的统一核算。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20" w:firstLineChars="200"/>
        <w:jc w:val="both"/>
        <w:textAlignment w:val="auto"/>
      </w:pPr>
      <w:r>
        <w:rPr>
          <w:rFonts w:hint="eastAsia" w:ascii="仿宋" w:hAnsi="仿宋" w:eastAsia="仿宋" w:cs="仿宋"/>
          <w:b w:val="0"/>
          <w:bCs w:val="0"/>
          <w:i w:val="0"/>
          <w:iCs w:val="0"/>
          <w:caps w:val="0"/>
          <w:color w:val="000000"/>
          <w:spacing w:val="0"/>
          <w:sz w:val="31"/>
          <w:szCs w:val="31"/>
          <w:lang w:val="en-US" w:eastAsia="zh-CN"/>
        </w:rPr>
        <w:t>5.</w:t>
      </w:r>
      <w:r>
        <w:rPr>
          <w:rFonts w:hint="eastAsia" w:ascii="仿宋" w:hAnsi="仿宋" w:eastAsia="仿宋" w:cs="仿宋"/>
          <w:b w:val="0"/>
          <w:bCs w:val="0"/>
          <w:i w:val="0"/>
          <w:iCs w:val="0"/>
          <w:caps w:val="0"/>
          <w:color w:val="000000"/>
          <w:spacing w:val="0"/>
          <w:sz w:val="31"/>
          <w:szCs w:val="31"/>
        </w:rPr>
        <w:t>负责审批个人住房公积金的提取和个人住房委托贷款的发放。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20" w:firstLineChars="200"/>
        <w:jc w:val="both"/>
        <w:textAlignment w:val="auto"/>
      </w:pPr>
      <w:r>
        <w:rPr>
          <w:rFonts w:hint="eastAsia" w:ascii="仿宋" w:hAnsi="仿宋" w:eastAsia="仿宋" w:cs="仿宋"/>
          <w:b w:val="0"/>
          <w:bCs w:val="0"/>
          <w:i w:val="0"/>
          <w:iCs w:val="0"/>
          <w:caps w:val="0"/>
          <w:color w:val="000000"/>
          <w:spacing w:val="0"/>
          <w:sz w:val="31"/>
          <w:szCs w:val="31"/>
          <w:lang w:val="en-US" w:eastAsia="zh-CN"/>
        </w:rPr>
        <w:t>6.</w:t>
      </w:r>
      <w:r>
        <w:rPr>
          <w:rFonts w:hint="eastAsia" w:ascii="仿宋" w:hAnsi="仿宋" w:eastAsia="仿宋" w:cs="仿宋"/>
          <w:b w:val="0"/>
          <w:bCs w:val="0"/>
          <w:i w:val="0"/>
          <w:iCs w:val="0"/>
          <w:caps w:val="0"/>
          <w:color w:val="000000"/>
          <w:spacing w:val="0"/>
          <w:sz w:val="31"/>
          <w:szCs w:val="31"/>
        </w:rPr>
        <w:t>负责全市住房公积金的保值、增值和归还，提出住房公积金增值收益分配方案。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20" w:firstLineChars="200"/>
        <w:jc w:val="both"/>
        <w:textAlignment w:val="auto"/>
      </w:pPr>
      <w:r>
        <w:rPr>
          <w:rFonts w:hint="eastAsia" w:ascii="仿宋" w:hAnsi="仿宋" w:eastAsia="仿宋" w:cs="仿宋"/>
          <w:b w:val="0"/>
          <w:bCs w:val="0"/>
          <w:i w:val="0"/>
          <w:iCs w:val="0"/>
          <w:caps w:val="0"/>
          <w:color w:val="000000"/>
          <w:spacing w:val="0"/>
          <w:sz w:val="31"/>
          <w:szCs w:val="31"/>
          <w:lang w:val="en-US" w:eastAsia="zh-CN"/>
        </w:rPr>
        <w:t>7.</w:t>
      </w:r>
      <w:r>
        <w:rPr>
          <w:rFonts w:hint="eastAsia" w:ascii="仿宋" w:hAnsi="仿宋" w:eastAsia="仿宋" w:cs="仿宋"/>
          <w:b w:val="0"/>
          <w:bCs w:val="0"/>
          <w:i w:val="0"/>
          <w:iCs w:val="0"/>
          <w:caps w:val="0"/>
          <w:color w:val="000000"/>
          <w:spacing w:val="0"/>
          <w:sz w:val="31"/>
          <w:szCs w:val="31"/>
        </w:rPr>
        <w:t>监督单位住房公积金的建立、缴存情况。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20" w:firstLineChars="200"/>
        <w:jc w:val="both"/>
        <w:textAlignment w:val="auto"/>
      </w:pPr>
      <w:r>
        <w:rPr>
          <w:rFonts w:hint="eastAsia" w:ascii="仿宋" w:hAnsi="仿宋" w:eastAsia="仿宋" w:cs="仿宋"/>
          <w:b w:val="0"/>
          <w:bCs w:val="0"/>
          <w:i w:val="0"/>
          <w:iCs w:val="0"/>
          <w:caps w:val="0"/>
          <w:color w:val="000000"/>
          <w:spacing w:val="0"/>
          <w:sz w:val="31"/>
          <w:szCs w:val="31"/>
          <w:lang w:val="en-US" w:eastAsia="zh-CN"/>
        </w:rPr>
        <w:t>8.</w:t>
      </w:r>
      <w:r>
        <w:rPr>
          <w:rFonts w:hint="eastAsia" w:ascii="仿宋" w:hAnsi="仿宋" w:eastAsia="仿宋" w:cs="仿宋"/>
          <w:b w:val="0"/>
          <w:bCs w:val="0"/>
          <w:i w:val="0"/>
          <w:iCs w:val="0"/>
          <w:caps w:val="0"/>
          <w:color w:val="000000"/>
          <w:spacing w:val="0"/>
          <w:sz w:val="31"/>
          <w:szCs w:val="31"/>
        </w:rPr>
        <w:t>负责住房公积金计算机信息系统的建立、维护、管理和安全防范工作，确保系统正常运行与安全。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20" w:firstLineChars="200"/>
        <w:jc w:val="both"/>
        <w:textAlignment w:val="auto"/>
      </w:pPr>
      <w:r>
        <w:rPr>
          <w:rFonts w:hint="eastAsia" w:ascii="仿宋" w:hAnsi="仿宋" w:eastAsia="仿宋" w:cs="仿宋"/>
          <w:b w:val="0"/>
          <w:bCs w:val="0"/>
          <w:i w:val="0"/>
          <w:iCs w:val="0"/>
          <w:caps w:val="0"/>
          <w:color w:val="000000"/>
          <w:spacing w:val="0"/>
          <w:sz w:val="31"/>
          <w:szCs w:val="31"/>
          <w:lang w:val="en-US" w:eastAsia="zh-CN"/>
        </w:rPr>
        <w:t>9.</w:t>
      </w:r>
      <w:r>
        <w:rPr>
          <w:rFonts w:hint="eastAsia" w:ascii="仿宋" w:hAnsi="仿宋" w:eastAsia="仿宋" w:cs="仿宋"/>
          <w:b w:val="0"/>
          <w:bCs w:val="0"/>
          <w:i w:val="0"/>
          <w:iCs w:val="0"/>
          <w:caps w:val="0"/>
          <w:color w:val="000000"/>
          <w:spacing w:val="0"/>
          <w:sz w:val="31"/>
          <w:szCs w:val="31"/>
        </w:rPr>
        <w:t>拟订住房公积金年度财务报告，经市住房公积金管理委员会审议通过后向社会公布。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20" w:firstLineChars="200"/>
        <w:jc w:val="both"/>
        <w:textAlignment w:val="auto"/>
      </w:pPr>
      <w:r>
        <w:rPr>
          <w:rFonts w:hint="eastAsia" w:ascii="仿宋" w:hAnsi="仿宋" w:eastAsia="仿宋" w:cs="仿宋"/>
          <w:b w:val="0"/>
          <w:bCs w:val="0"/>
          <w:i w:val="0"/>
          <w:iCs w:val="0"/>
          <w:caps w:val="0"/>
          <w:color w:val="000000"/>
          <w:spacing w:val="0"/>
          <w:sz w:val="31"/>
          <w:szCs w:val="31"/>
          <w:lang w:val="en-US" w:eastAsia="zh-CN"/>
        </w:rPr>
        <w:t>10.</w:t>
      </w:r>
      <w:r>
        <w:rPr>
          <w:rFonts w:hint="eastAsia" w:ascii="仿宋" w:hAnsi="仿宋" w:eastAsia="仿宋" w:cs="仿宋"/>
          <w:b w:val="0"/>
          <w:bCs w:val="0"/>
          <w:i w:val="0"/>
          <w:iCs w:val="0"/>
          <w:caps w:val="0"/>
          <w:color w:val="000000"/>
          <w:spacing w:val="0"/>
          <w:sz w:val="31"/>
          <w:szCs w:val="31"/>
        </w:rPr>
        <w:t>承担住房公积金管理委员会日常工作。</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20" w:firstLineChars="200"/>
        <w:textAlignment w:val="baseline"/>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1"/>
          <w:szCs w:val="31"/>
          <w:lang w:val="en-US" w:eastAsia="zh-CN"/>
        </w:rPr>
        <w:t>11.</w:t>
      </w:r>
      <w:r>
        <w:rPr>
          <w:rFonts w:hint="eastAsia" w:ascii="仿宋" w:hAnsi="仿宋" w:eastAsia="仿宋" w:cs="仿宋"/>
          <w:b w:val="0"/>
          <w:bCs w:val="0"/>
          <w:i w:val="0"/>
          <w:iCs w:val="0"/>
          <w:caps w:val="0"/>
          <w:color w:val="000000"/>
          <w:spacing w:val="0"/>
          <w:sz w:val="31"/>
          <w:szCs w:val="31"/>
        </w:rPr>
        <w:t>承办市委、市政府决定的其他事项。</w:t>
      </w:r>
    </w:p>
    <w:p>
      <w:pPr>
        <w:pStyle w:val="3"/>
        <w:keepNext w:val="0"/>
        <w:keepLines w:val="0"/>
        <w:pageBreakBefore w:val="0"/>
        <w:wordWrap/>
        <w:overflowPunct/>
        <w:topLinePunct w:val="0"/>
        <w:bidi w:val="0"/>
        <w:spacing w:line="540" w:lineRule="exact"/>
        <w:ind w:firstLine="624"/>
        <w:jc w:val="left"/>
        <w:rPr>
          <w:rFonts w:ascii="楷体" w:hAnsi="楷体" w:eastAsia="楷体" w:cs="楷体"/>
          <w:b/>
          <w:bCs/>
          <w:color w:val="000000"/>
          <w:szCs w:val="32"/>
        </w:rPr>
      </w:pPr>
      <w:r>
        <w:rPr>
          <w:rFonts w:hint="eastAsia" w:ascii="楷体" w:hAnsi="楷体" w:eastAsia="楷体" w:cs="楷体"/>
          <w:b/>
          <w:bCs/>
          <w:color w:val="000000"/>
          <w:szCs w:val="32"/>
        </w:rPr>
        <w:t>（二）机构设置</w:t>
      </w:r>
    </w:p>
    <w:p>
      <w:pPr>
        <w:pStyle w:val="3"/>
        <w:keepNext w:val="0"/>
        <w:keepLines w:val="0"/>
        <w:pageBreakBefore w:val="0"/>
        <w:widowControl w:val="0"/>
        <w:kinsoku/>
        <w:wordWrap/>
        <w:overflowPunct/>
        <w:topLinePunct w:val="0"/>
        <w:autoSpaceDE/>
        <w:autoSpaceDN/>
        <w:bidi w:val="0"/>
        <w:adjustRightInd/>
        <w:snapToGrid/>
        <w:spacing w:line="540" w:lineRule="exact"/>
        <w:ind w:firstLine="624"/>
        <w:jc w:val="left"/>
        <w:textAlignment w:val="auto"/>
        <w:rPr>
          <w:rFonts w:hint="eastAsia" w:ascii="仿宋_GB2312" w:hAnsi="仿宋" w:eastAsia="仿宋"/>
          <w:color w:val="000000"/>
          <w:szCs w:val="32"/>
        </w:rPr>
      </w:pPr>
      <w:r>
        <w:rPr>
          <w:rFonts w:hint="eastAsia" w:ascii="仿宋_GB2312" w:hAnsi="仿宋" w:eastAsia="仿宋"/>
          <w:color w:val="000000"/>
          <w:szCs w:val="32"/>
        </w:rPr>
        <w:t>根据上述职责，市</w:t>
      </w:r>
      <w:r>
        <w:rPr>
          <w:rFonts w:hint="eastAsia" w:ascii="仿宋_GB2312" w:hAnsi="仿宋" w:eastAsia="仿宋"/>
          <w:color w:val="000000"/>
          <w:szCs w:val="32"/>
          <w:lang w:val="en-US" w:eastAsia="zh-CN"/>
        </w:rPr>
        <w:t>住房公积金管理中心</w:t>
      </w:r>
      <w:r>
        <w:rPr>
          <w:rFonts w:hint="eastAsia" w:ascii="仿宋_GB2312" w:hAnsi="仿宋" w:eastAsia="仿宋"/>
          <w:color w:val="000000"/>
          <w:szCs w:val="32"/>
        </w:rPr>
        <w:t>设</w:t>
      </w:r>
      <w:r>
        <w:rPr>
          <w:rFonts w:hint="eastAsia" w:ascii="仿宋_GB2312" w:hAnsi="仿宋" w:eastAsia="仿宋"/>
          <w:color w:val="000000"/>
          <w:szCs w:val="32"/>
          <w:lang w:val="en-US" w:eastAsia="zh-CN"/>
        </w:rPr>
        <w:t>3</w:t>
      </w:r>
      <w:r>
        <w:rPr>
          <w:rFonts w:hint="eastAsia" w:ascii="仿宋_GB2312" w:hAnsi="仿宋" w:eastAsia="仿宋"/>
          <w:color w:val="000000"/>
          <w:szCs w:val="32"/>
        </w:rPr>
        <w:t>个内设机构：</w:t>
      </w:r>
      <w:r>
        <w:rPr>
          <w:rFonts w:hint="eastAsia" w:ascii="仿宋_GB2312" w:hAnsi="仿宋" w:eastAsia="仿宋"/>
          <w:color w:val="000000"/>
          <w:szCs w:val="32"/>
          <w:lang w:val="en-US" w:eastAsia="zh-CN"/>
        </w:rPr>
        <w:t>综合科、计划财务科、信息监督科</w:t>
      </w:r>
      <w:r>
        <w:rPr>
          <w:rFonts w:hint="eastAsia" w:ascii="仿宋_GB2312" w:hAnsi="仿宋" w:eastAsia="仿宋"/>
          <w:color w:val="000000"/>
          <w:szCs w:val="32"/>
        </w:rPr>
        <w:t>。</w:t>
      </w:r>
    </w:p>
    <w:p>
      <w:pPr>
        <w:pStyle w:val="3"/>
        <w:keepNext w:val="0"/>
        <w:keepLines w:val="0"/>
        <w:pageBreakBefore w:val="0"/>
        <w:widowControl w:val="0"/>
        <w:kinsoku/>
        <w:wordWrap/>
        <w:overflowPunct/>
        <w:topLinePunct w:val="0"/>
        <w:autoSpaceDE/>
        <w:autoSpaceDN/>
        <w:bidi w:val="0"/>
        <w:adjustRightInd/>
        <w:snapToGrid/>
        <w:spacing w:line="540" w:lineRule="exact"/>
        <w:ind w:firstLine="624"/>
        <w:jc w:val="left"/>
        <w:textAlignment w:val="auto"/>
        <w:rPr>
          <w:rFonts w:ascii="仿宋_GB2312" w:hAnsi="仿宋" w:eastAsia="仿宋"/>
          <w:color w:val="000000"/>
          <w:szCs w:val="32"/>
        </w:rPr>
      </w:pPr>
      <w:r>
        <w:rPr>
          <w:rFonts w:hint="eastAsia" w:ascii="仿宋" w:hAnsi="仿宋" w:eastAsia="仿宋" w:cs="仿宋"/>
          <w:i w:val="0"/>
          <w:iCs w:val="0"/>
          <w:caps w:val="0"/>
          <w:color w:val="000000"/>
          <w:spacing w:val="0"/>
          <w:sz w:val="32"/>
          <w:szCs w:val="32"/>
          <w:shd w:val="clear" w:fill="FFFFFF"/>
          <w:lang w:val="en-US" w:eastAsia="zh-CN"/>
        </w:rPr>
        <w:t>下设</w:t>
      </w:r>
      <w:r>
        <w:rPr>
          <w:rFonts w:hint="eastAsia" w:ascii="仿宋" w:hAnsi="仿宋" w:eastAsia="仿宋" w:cs="仿宋"/>
          <w:i w:val="0"/>
          <w:iCs w:val="0"/>
          <w:caps w:val="0"/>
          <w:color w:val="000000"/>
          <w:spacing w:val="0"/>
          <w:sz w:val="32"/>
          <w:szCs w:val="32"/>
          <w:shd w:val="clear" w:fill="FFFFFF"/>
        </w:rPr>
        <w:t>市直</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商州、洛南、丹凤、商南、山阳、镇安、柞水</w:t>
      </w:r>
      <w:r>
        <w:rPr>
          <w:rFonts w:hint="eastAsia" w:ascii="仿宋" w:hAnsi="仿宋" w:eastAsia="仿宋" w:cs="仿宋"/>
          <w:i w:val="0"/>
          <w:iCs w:val="0"/>
          <w:caps w:val="0"/>
          <w:color w:val="000000"/>
          <w:spacing w:val="0"/>
          <w:sz w:val="32"/>
          <w:szCs w:val="32"/>
          <w:shd w:val="clear" w:fill="FFFFFF"/>
          <w:lang w:val="en-US" w:eastAsia="zh-CN"/>
        </w:rPr>
        <w:t>8个管理部</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主要负责行政辖区内的住房公积金缴存、提取、使用和管理等工作。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二、2022年部门工作任务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bCs/>
          <w:sz w:val="32"/>
          <w:szCs w:val="32"/>
          <w:lang w:val="en-US" w:eastAsia="zh-CN"/>
        </w:rPr>
        <w:t>以习近平新时代中国特色社会主义思想为指导，</w:t>
      </w:r>
      <w:r>
        <w:rPr>
          <w:rFonts w:hint="eastAsia" w:ascii="仿宋" w:hAnsi="仿宋" w:eastAsia="仿宋" w:cs="仿宋"/>
          <w:bCs/>
          <w:sz w:val="32"/>
          <w:szCs w:val="32"/>
          <w:lang w:eastAsia="zh-CN"/>
        </w:rPr>
        <w:t>全面贯彻</w:t>
      </w:r>
      <w:r>
        <w:rPr>
          <w:rFonts w:hint="default" w:ascii="仿宋" w:hAnsi="仿宋" w:eastAsia="仿宋" w:cs="仿宋"/>
          <w:bCs/>
          <w:sz w:val="32"/>
          <w:szCs w:val="32"/>
          <w:lang w:eastAsia="zh-CN"/>
        </w:rPr>
        <w:t>落实</w:t>
      </w:r>
      <w:r>
        <w:rPr>
          <w:rFonts w:hint="eastAsia" w:ascii="仿宋" w:hAnsi="仿宋" w:eastAsia="仿宋" w:cs="仿宋"/>
          <w:bCs/>
          <w:sz w:val="32"/>
          <w:szCs w:val="32"/>
          <w:lang w:eastAsia="zh-CN"/>
        </w:rPr>
        <w:t>党的十九大</w:t>
      </w:r>
      <w:r>
        <w:rPr>
          <w:rFonts w:hint="eastAsia" w:ascii="仿宋" w:hAnsi="仿宋" w:eastAsia="仿宋" w:cs="仿宋"/>
          <w:bCs/>
          <w:sz w:val="32"/>
          <w:szCs w:val="32"/>
          <w:lang w:val="en-US" w:eastAsia="zh-CN"/>
        </w:rPr>
        <w:t>和</w:t>
      </w:r>
      <w:r>
        <w:rPr>
          <w:rFonts w:hint="eastAsia" w:ascii="仿宋" w:hAnsi="仿宋" w:eastAsia="仿宋" w:cs="仿宋"/>
          <w:bCs/>
          <w:sz w:val="32"/>
          <w:szCs w:val="32"/>
          <w:lang w:eastAsia="zh-CN"/>
        </w:rPr>
        <w:t>十九届</w:t>
      </w:r>
      <w:r>
        <w:rPr>
          <w:rFonts w:hint="eastAsia" w:ascii="仿宋" w:hAnsi="仿宋" w:eastAsia="仿宋" w:cs="仿宋"/>
          <w:bCs/>
          <w:sz w:val="32"/>
          <w:szCs w:val="32"/>
          <w:lang w:val="en-US" w:eastAsia="zh-CN"/>
        </w:rPr>
        <w:t>历次</w:t>
      </w:r>
      <w:r>
        <w:rPr>
          <w:rFonts w:hint="eastAsia" w:ascii="仿宋" w:hAnsi="仿宋" w:eastAsia="仿宋" w:cs="仿宋"/>
          <w:bCs/>
          <w:sz w:val="32"/>
          <w:szCs w:val="32"/>
          <w:lang w:eastAsia="zh-CN"/>
        </w:rPr>
        <w:t>全会</w:t>
      </w:r>
      <w:r>
        <w:rPr>
          <w:rFonts w:hint="eastAsia" w:ascii="仿宋" w:hAnsi="仿宋" w:eastAsia="仿宋" w:cs="仿宋"/>
          <w:bCs/>
          <w:sz w:val="32"/>
          <w:szCs w:val="32"/>
          <w:lang w:val="en-US" w:eastAsia="zh-CN"/>
        </w:rPr>
        <w:t>精神</w:t>
      </w:r>
      <w:r>
        <w:rPr>
          <w:rFonts w:hint="eastAsia" w:ascii="仿宋" w:hAnsi="仿宋" w:eastAsia="仿宋" w:cs="仿宋"/>
          <w:bCs/>
          <w:sz w:val="32"/>
          <w:szCs w:val="32"/>
          <w:lang w:eastAsia="zh-CN"/>
        </w:rPr>
        <w:t>及</w:t>
      </w:r>
      <w:r>
        <w:rPr>
          <w:rFonts w:hint="default" w:ascii="仿宋" w:hAnsi="仿宋" w:eastAsia="仿宋" w:cs="仿宋"/>
          <w:bCs/>
          <w:sz w:val="32"/>
          <w:szCs w:val="32"/>
          <w:lang w:eastAsia="zh-CN"/>
        </w:rPr>
        <w:t>党中央国务院关于住房保障的决策部署，</w:t>
      </w:r>
      <w:r>
        <w:rPr>
          <w:rFonts w:hint="eastAsia" w:ascii="仿宋" w:hAnsi="仿宋" w:eastAsia="仿宋" w:cs="仿宋"/>
          <w:bCs/>
          <w:sz w:val="32"/>
          <w:szCs w:val="32"/>
          <w:lang w:val="en-US" w:eastAsia="zh-CN"/>
        </w:rPr>
        <w:t>紧紧围绕</w:t>
      </w:r>
      <w:r>
        <w:rPr>
          <w:rFonts w:hint="default" w:ascii="仿宋" w:hAnsi="仿宋" w:eastAsia="仿宋" w:cs="仿宋"/>
          <w:bCs/>
          <w:sz w:val="32"/>
          <w:szCs w:val="32"/>
          <w:lang w:eastAsia="zh-CN"/>
        </w:rPr>
        <w:t>市委、市政府</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一都四区</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建设</w:t>
      </w:r>
      <w:r>
        <w:rPr>
          <w:rFonts w:hint="default" w:ascii="仿宋" w:hAnsi="仿宋" w:eastAsia="仿宋" w:cs="仿宋"/>
          <w:bCs/>
          <w:sz w:val="32"/>
          <w:szCs w:val="32"/>
          <w:lang w:eastAsia="zh-CN"/>
        </w:rPr>
        <w:t>，坚持</w:t>
      </w:r>
      <w:r>
        <w:rPr>
          <w:rFonts w:hint="eastAsia" w:ascii="仿宋" w:hAnsi="仿宋" w:eastAsia="仿宋" w:cs="仿宋"/>
          <w:bCs/>
          <w:sz w:val="32"/>
          <w:szCs w:val="32"/>
        </w:rPr>
        <w:t>“稳中求进”</w:t>
      </w:r>
      <w:r>
        <w:rPr>
          <w:rFonts w:hint="eastAsia" w:ascii="仿宋" w:hAnsi="仿宋" w:eastAsia="仿宋" w:cs="仿宋"/>
          <w:bCs/>
          <w:sz w:val="32"/>
          <w:szCs w:val="32"/>
          <w:lang w:eastAsia="zh-CN"/>
        </w:rPr>
        <w:t>的</w:t>
      </w:r>
      <w:r>
        <w:rPr>
          <w:rFonts w:hint="eastAsia" w:ascii="仿宋" w:hAnsi="仿宋" w:eastAsia="仿宋" w:cs="仿宋"/>
          <w:bCs/>
          <w:sz w:val="32"/>
          <w:szCs w:val="32"/>
          <w:lang w:val="en-US" w:eastAsia="zh-CN"/>
        </w:rPr>
        <w:t>工作</w:t>
      </w:r>
      <w:r>
        <w:rPr>
          <w:rFonts w:hint="eastAsia" w:ascii="仿宋" w:hAnsi="仿宋" w:eastAsia="仿宋" w:cs="仿宋"/>
          <w:bCs/>
          <w:sz w:val="32"/>
          <w:szCs w:val="32"/>
          <w:lang w:eastAsia="zh-CN"/>
        </w:rPr>
        <w:t>总</w:t>
      </w:r>
      <w:r>
        <w:rPr>
          <w:rFonts w:hint="default" w:ascii="仿宋" w:hAnsi="仿宋" w:eastAsia="仿宋" w:cs="仿宋"/>
          <w:bCs/>
          <w:sz w:val="32"/>
          <w:szCs w:val="32"/>
          <w:lang w:eastAsia="zh-CN"/>
        </w:rPr>
        <w:t>基调</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始终坚持“房住不炒”的定位，</w:t>
      </w:r>
      <w:r>
        <w:rPr>
          <w:rFonts w:hint="eastAsia" w:ascii="仿宋" w:hAnsi="仿宋" w:eastAsia="仿宋" w:cs="仿宋"/>
          <w:bCs/>
          <w:sz w:val="32"/>
          <w:szCs w:val="32"/>
        </w:rPr>
        <w:t>坚持“公正、公平的原则”</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始终以</w:t>
      </w:r>
      <w:r>
        <w:rPr>
          <w:rFonts w:hint="eastAsia" w:ascii="仿宋" w:hAnsi="仿宋" w:eastAsia="仿宋" w:cs="仿宋"/>
          <w:bCs/>
          <w:sz w:val="32"/>
          <w:szCs w:val="32"/>
        </w:rPr>
        <w:t>“双满意”</w:t>
      </w:r>
      <w:r>
        <w:rPr>
          <w:rFonts w:hint="eastAsia" w:ascii="仿宋" w:hAnsi="仿宋" w:eastAsia="仿宋" w:cs="仿宋"/>
          <w:bCs/>
          <w:sz w:val="32"/>
          <w:szCs w:val="32"/>
          <w:lang w:val="en-US" w:eastAsia="zh-CN"/>
        </w:rPr>
        <w:t>为</w:t>
      </w:r>
      <w:r>
        <w:rPr>
          <w:rFonts w:hint="eastAsia" w:ascii="仿宋" w:hAnsi="仿宋" w:eastAsia="仿宋" w:cs="仿宋"/>
          <w:bCs/>
          <w:sz w:val="32"/>
          <w:szCs w:val="32"/>
        </w:rPr>
        <w:t>目标</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认真执行住房公积金制度，不断扩大制度受益面，进一步规范相关政策，极大信息化建设力度，全面提升风险防控能力，提高服务管理水平，</w:t>
      </w:r>
      <w:r>
        <w:rPr>
          <w:rFonts w:hint="default" w:ascii="仿宋" w:hAnsi="仿宋" w:eastAsia="仿宋" w:cs="仿宋"/>
          <w:bCs/>
          <w:sz w:val="32"/>
          <w:szCs w:val="32"/>
          <w:lang w:eastAsia="zh-CN"/>
        </w:rPr>
        <w:t>扎实</w:t>
      </w:r>
      <w:r>
        <w:rPr>
          <w:rFonts w:hint="eastAsia" w:ascii="仿宋" w:hAnsi="仿宋" w:eastAsia="仿宋" w:cs="仿宋"/>
          <w:sz w:val="32"/>
          <w:szCs w:val="32"/>
          <w:lang w:eastAsia="zh-CN"/>
        </w:rPr>
        <w:t>推动商洛住房公积金事业高质量发展。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）任务目标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5" w:leftChars="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总体目标：逐步完善住房公积金制度，扩大制度受益面，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优化使用政策，加大信息化建设力度，提升风险防控能力。</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扩面业务指标：</w:t>
      </w:r>
      <w:r>
        <w:rPr>
          <w:rFonts w:ascii="仿宋" w:hAnsi="仿宋" w:eastAsia="仿宋" w:cs="仿宋"/>
          <w:color w:val="000000"/>
          <w:kern w:val="0"/>
          <w:sz w:val="31"/>
          <w:szCs w:val="31"/>
          <w:lang w:val="en-US" w:eastAsia="zh-CN" w:bidi="ar"/>
        </w:rPr>
        <w:t>全年新增建立住房公积金缴存</w:t>
      </w:r>
      <w:r>
        <w:rPr>
          <w:rFonts w:hint="eastAsia" w:ascii="仿宋" w:hAnsi="仿宋" w:eastAsia="仿宋" w:cs="仿宋"/>
          <w:color w:val="000000"/>
          <w:kern w:val="0"/>
          <w:sz w:val="31"/>
          <w:szCs w:val="31"/>
          <w:lang w:val="en-US" w:eastAsia="zh-CN" w:bidi="ar"/>
        </w:rPr>
        <w:t>6000人；</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rPr>
      </w:pPr>
      <w:r>
        <w:rPr>
          <w:rFonts w:hint="eastAsia" w:ascii="仿宋" w:hAnsi="仿宋" w:eastAsia="仿宋" w:cs="仿宋"/>
          <w:sz w:val="32"/>
          <w:szCs w:val="32"/>
          <w:lang w:eastAsia="zh-CN"/>
        </w:rPr>
        <w:t>归集业务指标：</w:t>
      </w:r>
      <w:r>
        <w:rPr>
          <w:rFonts w:hint="eastAsia" w:ascii="仿宋" w:hAnsi="仿宋" w:eastAsia="仿宋" w:cs="仿宋"/>
          <w:color w:val="000000"/>
          <w:kern w:val="0"/>
          <w:sz w:val="31"/>
          <w:szCs w:val="31"/>
          <w:lang w:val="en-US" w:eastAsia="zh-CN" w:bidi="ar"/>
        </w:rPr>
        <w:t>全年归集住房公积金11亿元</w:t>
      </w:r>
      <w:r>
        <w:rPr>
          <w:rFonts w:hint="default" w:ascii="仿宋" w:hAnsi="仿宋" w:eastAsia="仿宋" w:cs="仿宋"/>
          <w:color w:val="000000"/>
          <w:kern w:val="0"/>
          <w:sz w:val="31"/>
          <w:szCs w:val="31"/>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rPr>
      </w:pPr>
      <w:r>
        <w:rPr>
          <w:rFonts w:hint="eastAsia" w:ascii="仿宋" w:hAnsi="仿宋" w:eastAsia="仿宋" w:cs="仿宋"/>
          <w:sz w:val="32"/>
          <w:szCs w:val="32"/>
          <w:lang w:eastAsia="zh-CN"/>
        </w:rPr>
        <w:t>贷款业务指标：</w:t>
      </w:r>
      <w:r>
        <w:rPr>
          <w:rFonts w:hint="eastAsia" w:ascii="仿宋" w:hAnsi="仿宋" w:eastAsia="仿宋" w:cs="仿宋"/>
          <w:color w:val="000000"/>
          <w:kern w:val="0"/>
          <w:sz w:val="31"/>
          <w:szCs w:val="31"/>
          <w:lang w:val="en-US" w:eastAsia="zh-CN" w:bidi="ar"/>
        </w:rPr>
        <w:t>全年发放个人住房贷款8.5亿元</w:t>
      </w:r>
      <w:r>
        <w:rPr>
          <w:rFonts w:hint="default" w:ascii="仿宋" w:hAnsi="仿宋" w:eastAsia="仿宋" w:cs="仿宋"/>
          <w:color w:val="000000"/>
          <w:kern w:val="0"/>
          <w:sz w:val="31"/>
          <w:szCs w:val="31"/>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20" w:firstLineChars="200"/>
        <w:jc w:val="left"/>
        <w:textAlignment w:val="auto"/>
        <w:rPr>
          <w:rFonts w:hint="default"/>
        </w:rPr>
      </w:pPr>
      <w:r>
        <w:rPr>
          <w:rFonts w:hint="eastAsia" w:ascii="仿宋" w:hAnsi="仿宋" w:eastAsia="仿宋" w:cs="仿宋"/>
          <w:color w:val="000000"/>
          <w:kern w:val="0"/>
          <w:sz w:val="31"/>
          <w:szCs w:val="31"/>
          <w:lang w:val="en-US" w:eastAsia="zh-CN" w:bidi="ar"/>
        </w:rPr>
        <w:t>风险防控指标：贷款风险率严格控制在1‰以内</w:t>
      </w:r>
      <w:r>
        <w:rPr>
          <w:rFonts w:hint="default" w:ascii="仿宋" w:hAnsi="仿宋" w:eastAsia="仿宋" w:cs="仿宋"/>
          <w:color w:val="000000"/>
          <w:kern w:val="0"/>
          <w:sz w:val="31"/>
          <w:szCs w:val="31"/>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5" w:leftChars="0"/>
        <w:textAlignment w:val="auto"/>
        <w:rPr>
          <w:rFonts w:hint="default" w:ascii="仿宋" w:hAnsi="仿宋" w:eastAsia="仿宋" w:cs="仿宋"/>
          <w:sz w:val="32"/>
          <w:szCs w:val="32"/>
          <w:lang w:eastAsia="zh-CN"/>
        </w:rPr>
      </w:pPr>
      <w:r>
        <w:rPr>
          <w:rFonts w:hint="eastAsia" w:ascii="仿宋" w:hAnsi="仿宋" w:eastAsia="仿宋" w:cs="仿宋"/>
          <w:sz w:val="32"/>
          <w:szCs w:val="32"/>
          <w:lang w:eastAsia="zh-CN"/>
        </w:rPr>
        <w:t>增值收益指标：</w:t>
      </w:r>
      <w:r>
        <w:rPr>
          <w:rFonts w:hint="eastAsia" w:ascii="仿宋" w:hAnsi="仿宋" w:eastAsia="仿宋" w:cs="仿宋"/>
          <w:color w:val="000000"/>
          <w:kern w:val="0"/>
          <w:sz w:val="31"/>
          <w:szCs w:val="31"/>
          <w:lang w:val="en-US" w:eastAsia="zh-CN" w:bidi="ar"/>
        </w:rPr>
        <w:t>全市住房公积金增值收益7000万元</w:t>
      </w:r>
      <w:r>
        <w:rPr>
          <w:rFonts w:hint="default" w:ascii="仿宋" w:hAnsi="仿宋" w:eastAsia="仿宋" w:cs="仿宋"/>
          <w:color w:val="000000"/>
          <w:kern w:val="0"/>
          <w:sz w:val="31"/>
          <w:szCs w:val="31"/>
          <w:lang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楷体" w:hAnsi="楷体" w:eastAsia="楷体" w:cs="楷体"/>
          <w:b/>
          <w:bCs/>
          <w:smallCaps/>
          <w:sz w:val="32"/>
          <w:szCs w:val="32"/>
        </w:rPr>
      </w:pPr>
      <w:r>
        <w:rPr>
          <w:rFonts w:hint="eastAsia" w:ascii="楷体" w:hAnsi="楷体" w:eastAsia="楷体" w:cs="楷体"/>
          <w:b/>
          <w:bCs/>
          <w:smallCaps/>
          <w:sz w:val="32"/>
          <w:szCs w:val="32"/>
          <w:lang w:eastAsia="zh-CN"/>
        </w:rPr>
        <w:t>（</w:t>
      </w:r>
      <w:r>
        <w:rPr>
          <w:rFonts w:hint="eastAsia" w:ascii="楷体" w:hAnsi="楷体" w:eastAsia="楷体" w:cs="楷体"/>
          <w:b/>
          <w:bCs/>
          <w:smallCaps/>
          <w:sz w:val="32"/>
          <w:szCs w:val="32"/>
          <w:lang w:val="en-US" w:eastAsia="zh-CN"/>
        </w:rPr>
        <w:t>三</w:t>
      </w:r>
      <w:r>
        <w:rPr>
          <w:rFonts w:hint="eastAsia" w:ascii="楷体" w:hAnsi="楷体" w:eastAsia="楷体" w:cs="楷体"/>
          <w:b/>
          <w:bCs/>
          <w:smallCaps/>
          <w:sz w:val="32"/>
          <w:szCs w:val="32"/>
          <w:lang w:eastAsia="zh-CN"/>
        </w:rPr>
        <w:t>）</w:t>
      </w:r>
      <w:r>
        <w:rPr>
          <w:rFonts w:hint="eastAsia" w:ascii="楷体" w:hAnsi="楷体" w:eastAsia="楷体" w:cs="楷体"/>
          <w:b/>
          <w:bCs/>
          <w:smallCaps/>
          <w:sz w:val="32"/>
          <w:szCs w:val="32"/>
        </w:rPr>
        <w:t>重点工作</w:t>
      </w:r>
    </w:p>
    <w:p>
      <w:pPr>
        <w:keepNext w:val="0"/>
        <w:keepLines w:val="0"/>
        <w:pageBreakBefore w:val="0"/>
        <w:widowControl w:val="0"/>
        <w:kinsoku/>
        <w:wordWrap/>
        <w:overflowPunct/>
        <w:topLinePunct w:val="0"/>
        <w:autoSpaceDE/>
        <w:autoSpaceDN/>
        <w:bidi w:val="0"/>
        <w:adjustRightInd/>
        <w:snapToGrid/>
        <w:spacing w:line="540" w:lineRule="exact"/>
        <w:ind w:firstLine="672"/>
        <w:textAlignment w:val="auto"/>
        <w:rPr>
          <w:rFonts w:hint="eastAsia" w:ascii="仿宋_GB2312" w:eastAsia="仿宋_GB2312"/>
          <w:b/>
          <w:bCs/>
          <w:smallCaps/>
          <w:sz w:val="32"/>
          <w:szCs w:val="32"/>
          <w:lang w:val="en-US" w:eastAsia="zh-CN"/>
        </w:rPr>
      </w:pPr>
      <w:r>
        <w:rPr>
          <w:rFonts w:hint="eastAsia" w:ascii="仿宋_GB2312" w:eastAsia="仿宋_GB2312"/>
          <w:b/>
          <w:bCs/>
          <w:smallCaps/>
          <w:sz w:val="32"/>
          <w:szCs w:val="32"/>
        </w:rPr>
        <w:t>1</w:t>
      </w:r>
      <w:r>
        <w:rPr>
          <w:rFonts w:hint="eastAsia" w:ascii="仿宋_GB2312" w:eastAsia="仿宋_GB2312"/>
          <w:b/>
          <w:bCs/>
          <w:smallCaps/>
          <w:sz w:val="32"/>
          <w:szCs w:val="32"/>
          <w:lang w:val="en-US" w:eastAsia="zh-CN"/>
        </w:rPr>
        <w:t>.推进制度建设，增强政策执行力</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72"/>
        <w:textAlignment w:val="auto"/>
        <w:rPr>
          <w:rFonts w:hint="eastAsia" w:ascii="仿宋_GB2312" w:eastAsia="仿宋_GB2312"/>
          <w:smallCaps/>
          <w:sz w:val="32"/>
          <w:szCs w:val="32"/>
          <w:lang w:val="en-US" w:eastAsia="zh-CN"/>
        </w:rPr>
      </w:pPr>
      <w:r>
        <w:rPr>
          <w:rFonts w:hint="eastAsia" w:ascii="仿宋_GB2312" w:eastAsia="仿宋_GB2312"/>
          <w:smallCaps/>
          <w:sz w:val="32"/>
          <w:szCs w:val="32"/>
          <w:lang w:val="en-US" w:eastAsia="zh-CN"/>
        </w:rPr>
        <w:t>认真落实《住房公积金管理条例》，扎实执行公积金管委会决策；全面落实重大事项备案、定期通报、年度考核、函询约谈、定期审计、信息披露等六项制度，特别是大额资金调拨备案制度；扎实落实执行管委会决策、政策和管理制度，加大公积金业务工作调研，定期研判制度的落实情况和业务办理的和规定性；完善集体决策和内控机制建设，完善信息系统对业务的监督检查功能，充分发挥信息监督和财务监督的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仿宋_GB2312" w:eastAsia="仿宋_GB2312"/>
          <w:b/>
          <w:bCs/>
          <w:smallCaps/>
          <w:sz w:val="32"/>
          <w:szCs w:val="32"/>
          <w:lang w:val="en-US" w:eastAsia="zh-CN"/>
        </w:rPr>
      </w:pPr>
      <w:r>
        <w:rPr>
          <w:rFonts w:hint="eastAsia" w:ascii="仿宋_GB2312" w:eastAsia="仿宋_GB2312"/>
          <w:b/>
          <w:bCs/>
          <w:smallCaps/>
          <w:sz w:val="32"/>
          <w:szCs w:val="32"/>
          <w:lang w:val="en-US" w:eastAsia="zh-CN"/>
        </w:rPr>
        <w:t>2.推进缴存扩面，扩大制度受益面</w:t>
      </w:r>
    </w:p>
    <w:p>
      <w:pPr>
        <w:keepNext w:val="0"/>
        <w:keepLines w:val="0"/>
        <w:pageBreakBefore w:val="0"/>
        <w:widowControl w:val="0"/>
        <w:kinsoku/>
        <w:wordWrap/>
        <w:overflowPunct/>
        <w:topLinePunct w:val="0"/>
        <w:autoSpaceDE/>
        <w:autoSpaceDN/>
        <w:bidi w:val="0"/>
        <w:adjustRightInd/>
        <w:snapToGrid/>
        <w:spacing w:line="540" w:lineRule="exact"/>
        <w:ind w:firstLine="672"/>
        <w:textAlignment w:val="auto"/>
        <w:rPr>
          <w:rFonts w:hint="eastAsia" w:ascii="仿宋_GB2312" w:eastAsia="仿宋_GB2312"/>
          <w:smallCaps/>
          <w:sz w:val="32"/>
          <w:szCs w:val="32"/>
        </w:rPr>
      </w:pPr>
      <w:r>
        <w:rPr>
          <w:rFonts w:hint="eastAsia" w:ascii="仿宋_GB2312" w:eastAsia="仿宋_GB2312"/>
          <w:smallCaps/>
          <w:sz w:val="32"/>
          <w:szCs w:val="32"/>
          <w:lang w:eastAsia="zh-CN"/>
        </w:rPr>
        <w:t>进一步扩大制度覆盖面，完善缴存政策，</w:t>
      </w:r>
      <w:r>
        <w:rPr>
          <w:rFonts w:hint="eastAsia" w:ascii="仿宋_GB2312" w:eastAsia="仿宋_GB2312"/>
          <w:smallCaps/>
          <w:sz w:val="32"/>
          <w:szCs w:val="32"/>
        </w:rPr>
        <w:t>保持归集总额稳定增长 。稳步推进归集扩面工作，积极稳妥地开展非公企业</w:t>
      </w:r>
      <w:r>
        <w:rPr>
          <w:rFonts w:hint="eastAsia" w:ascii="仿宋_GB2312" w:eastAsia="仿宋_GB2312"/>
          <w:smallCaps/>
          <w:sz w:val="32"/>
          <w:szCs w:val="32"/>
          <w:lang w:eastAsia="zh-CN"/>
        </w:rPr>
        <w:t>等新市民、中低收入群众较为集中的单位</w:t>
      </w:r>
      <w:r>
        <w:rPr>
          <w:rFonts w:hint="eastAsia" w:ascii="仿宋_GB2312" w:eastAsia="仿宋_GB2312"/>
          <w:smallCaps/>
          <w:sz w:val="32"/>
          <w:szCs w:val="32"/>
        </w:rPr>
        <w:t>的住房公积金制度建立健全工作</w:t>
      </w:r>
      <w:r>
        <w:rPr>
          <w:rFonts w:hint="eastAsia" w:ascii="仿宋_GB2312" w:eastAsia="仿宋_GB2312"/>
          <w:smallCaps/>
          <w:sz w:val="32"/>
          <w:szCs w:val="32"/>
          <w:lang w:eastAsia="zh-CN"/>
        </w:rPr>
        <w:t>。以非公单位为重点，完善审核非公单位职工缴存、使用的相关政策，增强制度吸引力，将非公单位职工、自由职业者纳入保障范围，切实扩大覆盖面，提高公积金制度社会影响力</w:t>
      </w:r>
      <w:r>
        <w:rPr>
          <w:rFonts w:hint="eastAsia" w:ascii="仿宋_GB2312" w:eastAsia="仿宋_GB2312"/>
          <w:smallCap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b/>
          <w:bCs/>
          <w:smallCaps/>
          <w:sz w:val="32"/>
          <w:szCs w:val="32"/>
          <w:lang w:val="en-US" w:eastAsia="zh-CN"/>
        </w:rPr>
      </w:pPr>
      <w:r>
        <w:rPr>
          <w:rFonts w:hint="eastAsia" w:ascii="仿宋_GB2312" w:eastAsia="仿宋_GB2312"/>
          <w:b/>
          <w:bCs/>
          <w:smallCaps/>
          <w:sz w:val="32"/>
          <w:szCs w:val="32"/>
          <w:lang w:val="en-US" w:eastAsia="zh-CN"/>
        </w:rPr>
        <w:t>3.用好用足政策，提高资金</w:t>
      </w:r>
      <w:r>
        <w:rPr>
          <w:rFonts w:hint="default" w:ascii="仿宋_GB2312" w:eastAsia="仿宋_GB2312"/>
          <w:b/>
          <w:bCs/>
          <w:smallCaps/>
          <w:sz w:val="32"/>
          <w:szCs w:val="32"/>
          <w:lang w:eastAsia="zh-CN"/>
        </w:rPr>
        <w:t>使</w:t>
      </w:r>
      <w:r>
        <w:rPr>
          <w:rFonts w:hint="eastAsia" w:ascii="仿宋_GB2312" w:eastAsia="仿宋_GB2312"/>
          <w:b/>
          <w:bCs/>
          <w:smallCaps/>
          <w:sz w:val="32"/>
          <w:szCs w:val="32"/>
          <w:lang w:val="en-US" w:eastAsia="zh-CN"/>
        </w:rPr>
        <w:t>用率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mallCaps/>
          <w:sz w:val="32"/>
          <w:szCs w:val="32"/>
          <w:lang w:eastAsia="zh-CN"/>
        </w:rPr>
      </w:pPr>
      <w:r>
        <w:rPr>
          <w:rFonts w:hint="eastAsia" w:ascii="仿宋_GB2312" w:eastAsia="仿宋_GB2312"/>
          <w:smallCaps/>
          <w:sz w:val="32"/>
          <w:szCs w:val="32"/>
          <w:lang w:eastAsia="zh-CN"/>
        </w:rPr>
        <w:t>积极探索住房公积金在发展租赁住房和城镇老旧小区改造方面的使用途径。开展住房公积金购买新房和“二手房”贷款、组合贷款等业务，完善贷款担保方式，重点推行住房抵押方式。加强与房地产部门合作，建立房产预</w:t>
      </w:r>
      <w:r>
        <w:rPr>
          <w:rFonts w:hint="eastAsia" w:ascii="仿宋_GB2312" w:eastAsia="仿宋_GB2312"/>
          <w:smallCaps/>
          <w:sz w:val="32"/>
          <w:szCs w:val="32"/>
          <w:lang w:val="en-US" w:eastAsia="zh-CN"/>
        </w:rPr>
        <w:t>(销）售信息共享平台，准确掌握楼盘信息，增强个贷自主营销能力。在贷款政策上</w:t>
      </w:r>
      <w:r>
        <w:rPr>
          <w:rFonts w:hint="eastAsia" w:ascii="仿宋_GB2312" w:eastAsia="仿宋_GB2312"/>
          <w:smallCaps/>
          <w:sz w:val="32"/>
          <w:szCs w:val="32"/>
        </w:rPr>
        <w:t>向</w:t>
      </w:r>
      <w:r>
        <w:rPr>
          <w:rFonts w:hint="eastAsia" w:ascii="仿宋_GB2312" w:eastAsia="仿宋_GB2312"/>
          <w:smallCaps/>
          <w:sz w:val="32"/>
          <w:szCs w:val="32"/>
          <w:lang w:eastAsia="zh-CN"/>
        </w:rPr>
        <w:t>购房的刚性需求、</w:t>
      </w:r>
      <w:r>
        <w:rPr>
          <w:rFonts w:hint="eastAsia" w:ascii="仿宋_GB2312" w:eastAsia="仿宋_GB2312"/>
          <w:smallCaps/>
          <w:sz w:val="32"/>
          <w:szCs w:val="32"/>
        </w:rPr>
        <w:t>住房困难的新参加工作人员、</w:t>
      </w:r>
      <w:r>
        <w:rPr>
          <w:rFonts w:hint="eastAsia" w:ascii="仿宋_GB2312" w:eastAsia="仿宋_GB2312"/>
          <w:smallCaps/>
          <w:sz w:val="32"/>
          <w:szCs w:val="32"/>
          <w:lang w:eastAsia="zh-CN"/>
        </w:rPr>
        <w:t>引进的高层人才、</w:t>
      </w:r>
      <w:r>
        <w:rPr>
          <w:rFonts w:hint="eastAsia" w:ascii="仿宋_GB2312" w:eastAsia="仿宋_GB2312"/>
          <w:smallCaps/>
          <w:sz w:val="32"/>
          <w:szCs w:val="32"/>
        </w:rPr>
        <w:t>企业职工及中低收入者家庭倾斜</w:t>
      </w:r>
      <w:r>
        <w:rPr>
          <w:rFonts w:hint="eastAsia" w:ascii="仿宋_GB2312" w:eastAsia="仿宋_GB2312"/>
          <w:smallCaps/>
          <w:sz w:val="32"/>
          <w:szCs w:val="32"/>
          <w:lang w:eastAsia="zh-CN"/>
        </w:rPr>
        <w:t>，充分</w:t>
      </w:r>
      <w:r>
        <w:rPr>
          <w:rFonts w:hint="eastAsia" w:ascii="仿宋_GB2312" w:eastAsia="仿宋_GB2312"/>
          <w:smallCaps/>
          <w:sz w:val="32"/>
          <w:szCs w:val="32"/>
        </w:rPr>
        <w:t>体现住房</w:t>
      </w:r>
      <w:r>
        <w:rPr>
          <w:rFonts w:hint="eastAsia" w:ascii="仿宋_GB2312" w:eastAsia="仿宋_GB2312"/>
          <w:smallCaps/>
          <w:sz w:val="32"/>
          <w:szCs w:val="32"/>
          <w:lang w:eastAsia="zh-CN"/>
        </w:rPr>
        <w:t>公积金</w:t>
      </w:r>
      <w:r>
        <w:rPr>
          <w:rFonts w:hint="eastAsia" w:ascii="仿宋_GB2312" w:eastAsia="仿宋_GB2312"/>
          <w:smallCaps/>
          <w:sz w:val="32"/>
          <w:szCs w:val="32"/>
        </w:rPr>
        <w:t>的互助性质，使有限的公共资源发挥最大的社会效益</w:t>
      </w:r>
      <w:r>
        <w:rPr>
          <w:rFonts w:hint="eastAsia" w:ascii="仿宋_GB2312" w:eastAsia="仿宋_GB2312"/>
          <w:smallCaps/>
          <w:sz w:val="32"/>
          <w:szCs w:val="32"/>
          <w:lang w:eastAsia="zh-CN"/>
        </w:rPr>
        <w:t>。简政放权，优化流程、缩短业务办理周期，探索实现业务容缺受理。</w:t>
      </w:r>
      <w:r>
        <w:rPr>
          <w:rFonts w:hint="eastAsia" w:ascii="仿宋_GB2312" w:eastAsia="仿宋_GB2312"/>
          <w:smallCaps/>
          <w:sz w:val="32"/>
          <w:szCs w:val="32"/>
        </w:rPr>
        <w:t>依照提取管理办法，保障住房公积金正当提取</w:t>
      </w:r>
      <w:r>
        <w:rPr>
          <w:rFonts w:hint="eastAsia" w:ascii="仿宋_GB2312" w:eastAsia="仿宋_GB2312"/>
          <w:smallCaps/>
          <w:sz w:val="32"/>
          <w:szCs w:val="32"/>
          <w:lang w:eastAsia="zh-CN"/>
        </w:rPr>
        <w:t>，</w:t>
      </w:r>
      <w:r>
        <w:rPr>
          <w:rFonts w:hint="eastAsia" w:ascii="仿宋_GB2312" w:eastAsia="仿宋_GB2312"/>
          <w:smallCaps/>
          <w:sz w:val="32"/>
          <w:szCs w:val="32"/>
        </w:rPr>
        <w:t>做到既防止骗</w:t>
      </w:r>
      <w:r>
        <w:rPr>
          <w:rFonts w:hint="eastAsia" w:ascii="仿宋_GB2312" w:eastAsia="仿宋_GB2312"/>
          <w:smallCaps/>
          <w:sz w:val="32"/>
          <w:szCs w:val="32"/>
          <w:lang w:eastAsia="zh-CN"/>
        </w:rPr>
        <w:t>提</w:t>
      </w:r>
      <w:r>
        <w:rPr>
          <w:rFonts w:hint="eastAsia" w:ascii="仿宋_GB2312" w:eastAsia="仿宋_GB2312"/>
          <w:smallCaps/>
          <w:sz w:val="32"/>
          <w:szCs w:val="32"/>
        </w:rPr>
        <w:t>现象的发生，</w:t>
      </w:r>
      <w:r>
        <w:rPr>
          <w:rFonts w:hint="eastAsia" w:ascii="仿宋_GB2312" w:eastAsia="仿宋_GB2312"/>
          <w:smallCaps/>
          <w:sz w:val="32"/>
          <w:szCs w:val="32"/>
          <w:lang w:eastAsia="zh-CN"/>
        </w:rPr>
        <w:t>又</w:t>
      </w:r>
      <w:r>
        <w:rPr>
          <w:rFonts w:hint="eastAsia" w:ascii="仿宋_GB2312" w:eastAsia="仿宋_GB2312"/>
          <w:smallCaps/>
          <w:sz w:val="32"/>
          <w:szCs w:val="32"/>
        </w:rPr>
        <w:t>做到“应提尽提”</w:t>
      </w:r>
      <w:r>
        <w:rPr>
          <w:rFonts w:hint="default" w:ascii="仿宋_GB2312" w:eastAsia="仿宋_GB2312"/>
          <w:smallCaps/>
          <w:sz w:val="32"/>
          <w:szCs w:val="32"/>
        </w:rPr>
        <w:t>提高资金的使用率</w:t>
      </w:r>
      <w:r>
        <w:rPr>
          <w:rFonts w:hint="eastAsia" w:ascii="仿宋_GB2312" w:eastAsia="仿宋_GB2312"/>
          <w:smallCap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b/>
          <w:bCs/>
          <w:smallCaps/>
          <w:sz w:val="32"/>
          <w:szCs w:val="32"/>
          <w:lang w:val="en-US" w:eastAsia="zh-CN"/>
        </w:rPr>
      </w:pPr>
      <w:r>
        <w:rPr>
          <w:rFonts w:hint="eastAsia" w:ascii="仿宋_GB2312" w:eastAsia="仿宋_GB2312"/>
          <w:b/>
          <w:bCs/>
          <w:smallCaps/>
          <w:sz w:val="32"/>
          <w:szCs w:val="32"/>
          <w:lang w:val="en-US" w:eastAsia="zh-CN"/>
        </w:rPr>
        <w:t>4.加快信息建设，提升服务满意度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mallCaps/>
          <w:sz w:val="32"/>
          <w:szCs w:val="32"/>
          <w:lang w:eastAsia="zh-CN"/>
        </w:rPr>
      </w:pPr>
      <w:r>
        <w:rPr>
          <w:rFonts w:hint="eastAsia" w:ascii="仿宋_GB2312" w:eastAsia="仿宋_GB2312"/>
          <w:smallCaps/>
          <w:sz w:val="32"/>
          <w:szCs w:val="32"/>
          <w:lang w:eastAsia="zh-CN"/>
        </w:rPr>
        <w:t>优化升级综合服务平台，完善影像采集系统，提升服务平台人机交换能力；加快与全国住房公积金数据信息平台连通，与全国异地转移接续平台直连，尽快实现“账随人走、钱随账走”；加快共享平台建设，</w:t>
      </w:r>
      <w:r>
        <w:rPr>
          <w:rFonts w:hint="default" w:ascii="仿宋_GB2312" w:eastAsia="仿宋_GB2312"/>
          <w:smallCaps/>
          <w:sz w:val="32"/>
          <w:szCs w:val="32"/>
          <w:lang w:eastAsia="zh-CN"/>
        </w:rPr>
        <w:t>推进</w:t>
      </w:r>
      <w:r>
        <w:rPr>
          <w:rFonts w:hint="eastAsia" w:ascii="仿宋_GB2312" w:eastAsia="仿宋_GB2312"/>
          <w:smallCaps/>
          <w:sz w:val="32"/>
          <w:szCs w:val="32"/>
          <w:lang w:eastAsia="zh-CN"/>
        </w:rPr>
        <w:t>与各中心横向之间数据信息互联互通</w:t>
      </w:r>
      <w:r>
        <w:rPr>
          <w:rFonts w:hint="eastAsia" w:ascii="仿宋_GB2312" w:eastAsia="仿宋_GB2312"/>
          <w:smallCaps/>
          <w:sz w:val="32"/>
          <w:szCs w:val="32"/>
          <w:lang w:val="en-US" w:eastAsia="zh-CN"/>
        </w:rPr>
        <w:t>;</w:t>
      </w:r>
      <w:r>
        <w:rPr>
          <w:rFonts w:hint="eastAsia" w:ascii="仿宋_GB2312" w:eastAsia="仿宋_GB2312"/>
          <w:smallCaps/>
          <w:sz w:val="32"/>
          <w:szCs w:val="32"/>
          <w:lang w:eastAsia="zh-CN"/>
        </w:rPr>
        <w:t>实现公积金系统与人行征信系统、市不动产、房管局等各部门有效数据信息的互联共享；公积金业务系统与银行商贷数据互联共享，提取公积金偿还商贷实现“零材料”；公积金业务接入银行</w:t>
      </w:r>
      <w:r>
        <w:rPr>
          <w:rFonts w:hint="eastAsia" w:ascii="仿宋_GB2312" w:eastAsia="仿宋_GB2312"/>
          <w:smallCaps/>
          <w:sz w:val="32"/>
          <w:szCs w:val="32"/>
          <w:lang w:val="en-US" w:eastAsia="zh-CN"/>
        </w:rPr>
        <w:t>STM</w:t>
      </w:r>
      <w:r>
        <w:rPr>
          <w:rFonts w:hint="eastAsia" w:ascii="仿宋_GB2312" w:eastAsia="仿宋_GB2312"/>
          <w:smallCaps/>
          <w:sz w:val="32"/>
          <w:szCs w:val="32"/>
          <w:lang w:eastAsia="zh-CN"/>
        </w:rPr>
        <w:t>（智慧柜员机）、秦务员，拓宽业务服务渠道，推进公积金电子档案工程，</w:t>
      </w:r>
      <w:r>
        <w:rPr>
          <w:rFonts w:hint="default" w:ascii="仿宋_GB2312" w:eastAsia="仿宋_GB2312"/>
          <w:smallCaps/>
          <w:sz w:val="32"/>
          <w:szCs w:val="32"/>
          <w:lang w:eastAsia="zh-CN"/>
        </w:rPr>
        <w:t>推进</w:t>
      </w:r>
      <w:r>
        <w:rPr>
          <w:rFonts w:hint="eastAsia" w:ascii="仿宋_GB2312" w:eastAsia="仿宋_GB2312"/>
          <w:smallCaps/>
          <w:sz w:val="32"/>
          <w:szCs w:val="32"/>
          <w:lang w:eastAsia="zh-CN"/>
        </w:rPr>
        <w:t>档案管理数字化、办公的智能化，提高业务办理效率，实现服务满意度的提升。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仿宋_GB2312" w:eastAsia="仿宋_GB2312"/>
          <w:b/>
          <w:bCs/>
          <w:smallCaps/>
          <w:sz w:val="32"/>
          <w:szCs w:val="32"/>
          <w:lang w:eastAsia="zh-CN"/>
        </w:rPr>
      </w:pPr>
      <w:r>
        <w:rPr>
          <w:rFonts w:hint="eastAsia" w:ascii="仿宋_GB2312" w:eastAsia="仿宋_GB2312"/>
          <w:b/>
          <w:bCs/>
          <w:smallCaps/>
          <w:sz w:val="32"/>
          <w:szCs w:val="32"/>
          <w:lang w:val="en-US" w:eastAsia="zh-CN"/>
        </w:rPr>
        <w:t>5.</w:t>
      </w:r>
      <w:r>
        <w:rPr>
          <w:rFonts w:hint="eastAsia" w:ascii="仿宋_GB2312" w:eastAsia="仿宋_GB2312"/>
          <w:b/>
          <w:bCs/>
          <w:smallCaps/>
          <w:sz w:val="32"/>
          <w:szCs w:val="32"/>
          <w:lang w:eastAsia="zh-CN"/>
        </w:rPr>
        <w:t>加强风险管控</w:t>
      </w:r>
      <w:r>
        <w:rPr>
          <w:rFonts w:hint="eastAsia" w:ascii="仿宋_GB2312" w:eastAsia="仿宋_GB2312"/>
          <w:b/>
          <w:bCs/>
          <w:smallCaps/>
          <w:sz w:val="32"/>
          <w:szCs w:val="32"/>
          <w:lang w:val="en-US" w:eastAsia="zh-CN"/>
        </w:rPr>
        <w:t>，</w:t>
      </w:r>
      <w:r>
        <w:rPr>
          <w:rFonts w:hint="default" w:ascii="仿宋_GB2312" w:eastAsia="仿宋_GB2312"/>
          <w:b/>
          <w:bCs/>
          <w:smallCaps/>
          <w:sz w:val="32"/>
          <w:szCs w:val="32"/>
          <w:lang w:eastAsia="zh-CN"/>
        </w:rPr>
        <w:t>确保资金安全性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仿宋_GB2312" w:eastAsia="仿宋_GB2312"/>
          <w:smallCaps/>
          <w:sz w:val="32"/>
          <w:szCs w:val="32"/>
          <w:lang w:val="en-US" w:eastAsia="zh-CN"/>
        </w:rPr>
      </w:pPr>
      <w:r>
        <w:rPr>
          <w:rFonts w:hint="eastAsia" w:ascii="仿宋_GB2312" w:eastAsia="仿宋_GB2312"/>
          <w:smallCaps/>
          <w:sz w:val="32"/>
          <w:szCs w:val="32"/>
          <w:lang w:val="en-US" w:eastAsia="zh-CN"/>
        </w:rPr>
        <w:t xml:space="preserve">     进一步规范</w:t>
      </w:r>
      <w:r>
        <w:rPr>
          <w:rFonts w:hint="eastAsia" w:ascii="仿宋_GB2312" w:eastAsia="仿宋_GB2312"/>
          <w:smallCaps/>
          <w:sz w:val="32"/>
          <w:szCs w:val="32"/>
        </w:rPr>
        <w:t>住房公积金运行程序，</w:t>
      </w:r>
      <w:r>
        <w:rPr>
          <w:rFonts w:hint="eastAsia" w:ascii="仿宋_GB2312" w:eastAsia="仿宋_GB2312"/>
          <w:sz w:val="32"/>
          <w:szCs w:val="32"/>
        </w:rPr>
        <w:t>健全</w:t>
      </w:r>
      <w:r>
        <w:rPr>
          <w:rFonts w:hint="eastAsia" w:ascii="仿宋_GB2312" w:eastAsia="仿宋_GB2312"/>
          <w:smallCaps/>
          <w:sz w:val="32"/>
          <w:szCs w:val="32"/>
          <w:lang w:eastAsia="zh-CN"/>
        </w:rPr>
        <w:t>完善</w:t>
      </w:r>
      <w:r>
        <w:rPr>
          <w:rFonts w:hint="eastAsia" w:ascii="仿宋_GB2312" w:eastAsia="仿宋_GB2312"/>
          <w:sz w:val="32"/>
          <w:szCs w:val="32"/>
        </w:rPr>
        <w:t>内控制度，严把资金的流转环节，</w:t>
      </w:r>
      <w:r>
        <w:rPr>
          <w:rFonts w:hint="eastAsia" w:ascii="仿宋_GB2312" w:eastAsia="仿宋_GB2312"/>
          <w:smallCaps/>
          <w:sz w:val="32"/>
          <w:szCs w:val="32"/>
        </w:rPr>
        <w:t>准确把握、捕捉</w:t>
      </w:r>
      <w:r>
        <w:rPr>
          <w:rFonts w:hint="eastAsia" w:ascii="仿宋_GB2312" w:eastAsia="仿宋_GB2312"/>
          <w:smallCaps/>
          <w:sz w:val="32"/>
          <w:szCs w:val="32"/>
          <w:lang w:eastAsia="zh-CN"/>
        </w:rPr>
        <w:t>资金</w:t>
      </w:r>
      <w:r>
        <w:rPr>
          <w:rFonts w:hint="eastAsia" w:ascii="仿宋_GB2312" w:eastAsia="仿宋_GB2312"/>
          <w:smallCaps/>
          <w:sz w:val="32"/>
          <w:szCs w:val="32"/>
        </w:rPr>
        <w:t>风险点，落实防控措施，夯实防控责任</w:t>
      </w:r>
      <w:r>
        <w:rPr>
          <w:rFonts w:hint="eastAsia" w:ascii="仿宋_GB2312" w:eastAsia="仿宋_GB2312"/>
          <w:sz w:val="32"/>
          <w:szCs w:val="32"/>
          <w:lang w:eastAsia="zh-CN"/>
        </w:rPr>
        <w:t>；加强流动性风险管理，制定应急紧急实施方案，防范风险；</w:t>
      </w:r>
      <w:r>
        <w:rPr>
          <w:rFonts w:hint="eastAsia" w:ascii="仿宋_GB2312" w:eastAsia="仿宋_GB2312"/>
          <w:smallCaps/>
          <w:sz w:val="32"/>
          <w:szCs w:val="32"/>
          <w:lang w:val="en-US" w:eastAsia="zh-CN"/>
        </w:rPr>
        <w:t>加强监督管理，完善信息综合服务平台建设，充分利用信息系统开展电子稽查、专项业务督查确保业务办理的合规化、规范化；优化综合服务平台财务核算系统，通过财务管理，数据分析，加强资金管理、资金运作、资金调度，有效防范资金调度风险，实现资金高效运作及</w:t>
      </w:r>
      <w:r>
        <w:rPr>
          <w:rFonts w:hint="default" w:ascii="仿宋_GB2312" w:eastAsia="仿宋_GB2312"/>
          <w:smallCaps/>
          <w:sz w:val="32"/>
          <w:szCs w:val="32"/>
          <w:lang w:eastAsia="zh-CN"/>
        </w:rPr>
        <w:t>资金</w:t>
      </w:r>
      <w:r>
        <w:rPr>
          <w:rFonts w:hint="eastAsia" w:ascii="仿宋_GB2312" w:eastAsia="仿宋_GB2312"/>
          <w:smallCaps/>
          <w:sz w:val="32"/>
          <w:szCs w:val="32"/>
          <w:lang w:val="en-US" w:eastAsia="zh-CN"/>
        </w:rPr>
        <w:t>的</w:t>
      </w:r>
      <w:r>
        <w:rPr>
          <w:rFonts w:hint="default" w:ascii="仿宋_GB2312" w:eastAsia="仿宋_GB2312"/>
          <w:smallCaps/>
          <w:sz w:val="32"/>
          <w:szCs w:val="32"/>
          <w:lang w:eastAsia="zh-CN"/>
        </w:rPr>
        <w:t>增值保值</w:t>
      </w:r>
      <w:r>
        <w:rPr>
          <w:rFonts w:hint="eastAsia" w:ascii="仿宋_GB2312" w:eastAsia="仿宋_GB2312"/>
          <w:smallCap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6.强化党建引领，聚力服务最优化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pPr>
      <w:r>
        <w:rPr>
          <w:rFonts w:hint="eastAsia" w:ascii="仿宋_GB2312" w:eastAsia="仿宋_GB2312"/>
          <w:color w:val="000000"/>
          <w:sz w:val="32"/>
          <w:szCs w:val="32"/>
          <w:lang w:eastAsia="zh-CN"/>
        </w:rPr>
        <w:t>加强党建引领作用，</w:t>
      </w:r>
      <w:r>
        <w:rPr>
          <w:rFonts w:hint="eastAsia" w:ascii="仿宋_GB2312" w:eastAsia="仿宋_GB2312"/>
          <w:color w:val="000000"/>
          <w:spacing w:val="2"/>
          <w:sz w:val="32"/>
          <w:szCs w:val="32"/>
        </w:rPr>
        <w:t>树立服务意识，</w:t>
      </w:r>
      <w:r>
        <w:rPr>
          <w:rFonts w:hint="eastAsia" w:ascii="仿宋_GB2312" w:eastAsia="仿宋_GB2312"/>
          <w:color w:val="000000"/>
          <w:spacing w:val="2"/>
          <w:sz w:val="32"/>
          <w:szCs w:val="32"/>
          <w:lang w:eastAsia="zh-CN"/>
        </w:rPr>
        <w:t>认真落实《陕西省住房公积金服务管理标准》，全面规范线下窗口服务流程、工作制度、服务质量、仪容仪表和言谈举止。加强学习培训、专家授课、参观学习、交流研讨等方式，进一步提高住房公积金管理人员的业务知识水平和服务技能，提升资金管理运行能力、信息化技能、服务水平。全面开展网上业务大厅、支付宝、手机</w:t>
      </w:r>
      <w:r>
        <w:rPr>
          <w:rFonts w:hint="eastAsia" w:ascii="仿宋_GB2312" w:eastAsia="仿宋_GB2312"/>
          <w:color w:val="000000"/>
          <w:spacing w:val="2"/>
          <w:sz w:val="32"/>
          <w:szCs w:val="32"/>
          <w:lang w:val="en-US" w:eastAsia="zh-CN"/>
        </w:rPr>
        <w:t>APP、短信、微信、等多元化的线上服务渠道，让缴存职工随时随地了解个人公积金账户情况、办理相关业务，推进“一张网”便捷服务模式，形成“一站式”、“网上办、马上办、一次办”服务品牌。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三、部门预算单位构成</w:t>
      </w:r>
    </w:p>
    <w:p>
      <w:pPr>
        <w:pStyle w:val="3"/>
        <w:keepNext w:val="0"/>
        <w:keepLines w:val="0"/>
        <w:pageBreakBefore w:val="0"/>
        <w:widowControl w:val="0"/>
        <w:kinsoku/>
        <w:wordWrap/>
        <w:overflowPunct/>
        <w:topLinePunct w:val="0"/>
        <w:autoSpaceDE/>
        <w:autoSpaceDN/>
        <w:bidi w:val="0"/>
        <w:adjustRightInd/>
        <w:snapToGrid/>
        <w:spacing w:line="540" w:lineRule="exact"/>
        <w:ind w:firstLine="641"/>
        <w:jc w:val="left"/>
        <w:textAlignment w:val="auto"/>
        <w:rPr>
          <w:rFonts w:hint="eastAsia" w:ascii="仿宋_GB2312" w:hAnsi="仿宋" w:eastAsia="仿宋" w:cs="宋体"/>
          <w:szCs w:val="28"/>
        </w:rPr>
      </w:pPr>
      <w:r>
        <w:rPr>
          <w:rFonts w:hint="eastAsia" w:ascii="仿宋_GB2312" w:hAnsi="仿宋" w:eastAsia="仿宋" w:cs="宋体"/>
          <w:szCs w:val="28"/>
        </w:rPr>
        <w:t>商洛市</w:t>
      </w:r>
      <w:r>
        <w:rPr>
          <w:rFonts w:hint="eastAsia" w:ascii="仿宋_GB2312" w:hAnsi="仿宋" w:eastAsia="仿宋" w:cs="宋体"/>
          <w:szCs w:val="28"/>
          <w:lang w:val="en-US" w:eastAsia="zh-CN"/>
        </w:rPr>
        <w:t>住房公积金管理中心</w:t>
      </w:r>
      <w:r>
        <w:rPr>
          <w:rFonts w:hint="eastAsia" w:ascii="仿宋_GB2312" w:hAnsi="仿宋" w:eastAsia="仿宋" w:cs="宋体"/>
          <w:szCs w:val="28"/>
        </w:rPr>
        <w:t>属于一级部门，单位性质为参照公务员管理的事业单位，经费管理形式为全额财政拨款单位。</w:t>
      </w:r>
    </w:p>
    <w:p>
      <w:pPr>
        <w:pStyle w:val="3"/>
        <w:keepNext w:val="0"/>
        <w:keepLines w:val="0"/>
        <w:pageBreakBefore w:val="0"/>
        <w:widowControl w:val="0"/>
        <w:kinsoku/>
        <w:wordWrap/>
        <w:overflowPunct/>
        <w:topLinePunct w:val="0"/>
        <w:autoSpaceDE/>
        <w:autoSpaceDN/>
        <w:bidi w:val="0"/>
        <w:adjustRightInd/>
        <w:snapToGrid/>
        <w:spacing w:line="200" w:lineRule="exact"/>
        <w:ind w:firstLine="641"/>
        <w:jc w:val="left"/>
        <w:textAlignment w:val="auto"/>
        <w:rPr>
          <w:rFonts w:hint="eastAsia" w:ascii="仿宋_GB2312" w:hAnsi="仿宋" w:eastAsia="仿宋" w:cs="宋体"/>
          <w:szCs w:val="28"/>
        </w:rPr>
      </w:pPr>
    </w:p>
    <w:tbl>
      <w:tblPr>
        <w:tblStyle w:val="9"/>
        <w:tblW w:w="84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3"/>
        <w:gridCol w:w="4884"/>
        <w:gridCol w:w="1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623" w:type="dxa"/>
            <w:tcBorders>
              <w:top w:val="single" w:color="000000" w:sz="2" w:space="0"/>
              <w:bottom w:val="single" w:color="000000" w:sz="2" w:space="0"/>
            </w:tcBorders>
          </w:tcPr>
          <w:p>
            <w:pPr>
              <w:keepNext w:val="0"/>
              <w:keepLines w:val="0"/>
              <w:pageBreakBefore w:val="0"/>
              <w:wordWrap/>
              <w:overflowPunct/>
              <w:topLinePunct w:val="0"/>
              <w:bidi w:val="0"/>
              <w:spacing w:line="540" w:lineRule="exact"/>
              <w:ind w:firstLine="485"/>
              <w:rPr>
                <w:rFonts w:ascii="宋体" w:hAnsi="宋体" w:eastAsia="宋体" w:cs="宋体"/>
                <w:sz w:val="32"/>
                <w:szCs w:val="32"/>
              </w:rPr>
            </w:pPr>
            <w:r>
              <w:rPr>
                <w:rFonts w:ascii="宋体" w:hAnsi="宋体" w:eastAsia="宋体" w:cs="宋体"/>
                <w:spacing w:val="9"/>
                <w:sz w:val="32"/>
                <w:szCs w:val="32"/>
              </w:rPr>
              <w:t>序号</w:t>
            </w:r>
          </w:p>
        </w:tc>
        <w:tc>
          <w:tcPr>
            <w:tcW w:w="4884" w:type="dxa"/>
            <w:tcBorders>
              <w:top w:val="single" w:color="000000" w:sz="2" w:space="0"/>
              <w:bottom w:val="single" w:color="000000" w:sz="2" w:space="0"/>
            </w:tcBorders>
          </w:tcPr>
          <w:p>
            <w:pPr>
              <w:keepNext w:val="0"/>
              <w:keepLines w:val="0"/>
              <w:pageBreakBefore w:val="0"/>
              <w:wordWrap/>
              <w:overflowPunct/>
              <w:topLinePunct w:val="0"/>
              <w:bidi w:val="0"/>
              <w:spacing w:line="540" w:lineRule="exact"/>
              <w:ind w:firstLine="1832"/>
              <w:rPr>
                <w:rFonts w:ascii="宋体" w:hAnsi="宋体" w:eastAsia="宋体" w:cs="宋体"/>
                <w:sz w:val="32"/>
                <w:szCs w:val="32"/>
              </w:rPr>
            </w:pPr>
            <w:r>
              <w:rPr>
                <w:rFonts w:ascii="宋体" w:hAnsi="宋体" w:eastAsia="宋体" w:cs="宋体"/>
                <w:spacing w:val="4"/>
                <w:sz w:val="32"/>
                <w:szCs w:val="32"/>
              </w:rPr>
              <w:t>单位名称</w:t>
            </w:r>
          </w:p>
        </w:tc>
        <w:tc>
          <w:tcPr>
            <w:tcW w:w="1983" w:type="dxa"/>
            <w:tcBorders>
              <w:top w:val="single" w:color="000000" w:sz="2" w:space="0"/>
              <w:bottom w:val="single" w:color="000000" w:sz="2" w:space="0"/>
            </w:tcBorders>
          </w:tcPr>
          <w:p>
            <w:pPr>
              <w:keepNext w:val="0"/>
              <w:keepLines w:val="0"/>
              <w:pageBreakBefore w:val="0"/>
              <w:wordWrap/>
              <w:overflowPunct/>
              <w:topLinePunct w:val="0"/>
              <w:bidi w:val="0"/>
              <w:spacing w:line="540" w:lineRule="exact"/>
              <w:ind w:firstLine="188"/>
              <w:rPr>
                <w:rFonts w:ascii="宋体" w:hAnsi="宋体" w:eastAsia="宋体" w:cs="宋体"/>
                <w:sz w:val="32"/>
                <w:szCs w:val="32"/>
              </w:rPr>
            </w:pPr>
            <w:r>
              <w:rPr>
                <w:rFonts w:ascii="宋体" w:hAnsi="宋体" w:eastAsia="宋体" w:cs="宋体"/>
                <w:spacing w:val="2"/>
                <w:sz w:val="32"/>
                <w:szCs w:val="32"/>
              </w:rPr>
              <w:t>拟变动情况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623" w:type="dxa"/>
            <w:tcBorders>
              <w:top w:val="single" w:color="000000" w:sz="2" w:space="0"/>
              <w:bottom w:val="single" w:color="000000" w:sz="2" w:space="0"/>
            </w:tcBorders>
          </w:tcPr>
          <w:p>
            <w:pPr>
              <w:keepNext w:val="0"/>
              <w:keepLines w:val="0"/>
              <w:pageBreakBefore w:val="0"/>
              <w:wordWrap/>
              <w:overflowPunct/>
              <w:topLinePunct w:val="0"/>
              <w:bidi w:val="0"/>
              <w:spacing w:line="540" w:lineRule="exact"/>
              <w:ind w:firstLine="724"/>
              <w:rPr>
                <w:rFonts w:ascii="宋体" w:hAnsi="宋体" w:eastAsia="宋体" w:cs="宋体"/>
                <w:sz w:val="32"/>
                <w:szCs w:val="32"/>
              </w:rPr>
            </w:pPr>
            <w:r>
              <w:rPr>
                <w:rFonts w:ascii="宋体" w:hAnsi="宋体" w:eastAsia="宋体" w:cs="宋体"/>
                <w:sz w:val="32"/>
                <w:szCs w:val="32"/>
              </w:rPr>
              <w:t>1</w:t>
            </w:r>
          </w:p>
        </w:tc>
        <w:tc>
          <w:tcPr>
            <w:tcW w:w="4884" w:type="dxa"/>
            <w:tcBorders>
              <w:top w:val="single" w:color="000000" w:sz="2" w:space="0"/>
              <w:bottom w:val="single" w:color="000000" w:sz="2" w:space="0"/>
            </w:tcBorders>
          </w:tcPr>
          <w:p>
            <w:pPr>
              <w:keepNext w:val="0"/>
              <w:keepLines w:val="0"/>
              <w:pageBreakBefore w:val="0"/>
              <w:wordWrap/>
              <w:overflowPunct/>
              <w:topLinePunct w:val="0"/>
              <w:bidi w:val="0"/>
              <w:spacing w:line="540" w:lineRule="exact"/>
              <w:ind w:firstLine="92"/>
              <w:jc w:val="center"/>
              <w:rPr>
                <w:rFonts w:ascii="宋体" w:hAnsi="宋体" w:eastAsia="宋体" w:cs="宋体"/>
                <w:sz w:val="32"/>
                <w:szCs w:val="32"/>
              </w:rPr>
            </w:pPr>
            <w:r>
              <w:rPr>
                <w:rFonts w:hint="eastAsia" w:ascii="宋体" w:hAnsi="宋体" w:eastAsia="宋体" w:cs="宋体"/>
                <w:spacing w:val="-11"/>
                <w:sz w:val="32"/>
                <w:szCs w:val="32"/>
              </w:rPr>
              <w:t>商洛市</w:t>
            </w:r>
            <w:r>
              <w:rPr>
                <w:rFonts w:hint="eastAsia" w:ascii="宋体" w:hAnsi="宋体" w:eastAsia="宋体" w:cs="宋体"/>
                <w:spacing w:val="-11"/>
                <w:sz w:val="32"/>
                <w:szCs w:val="32"/>
                <w:lang w:val="en-US" w:eastAsia="zh-CN"/>
              </w:rPr>
              <w:t>住房公积金管理中心</w:t>
            </w:r>
          </w:p>
        </w:tc>
        <w:tc>
          <w:tcPr>
            <w:tcW w:w="1983" w:type="dxa"/>
            <w:tcBorders>
              <w:top w:val="single" w:color="000000" w:sz="2" w:space="0"/>
              <w:bottom w:val="single" w:color="000000" w:sz="2" w:space="0"/>
            </w:tcBorders>
          </w:tcPr>
          <w:p>
            <w:pPr>
              <w:keepNext w:val="0"/>
              <w:keepLines w:val="0"/>
              <w:pageBreakBefore w:val="0"/>
              <w:wordWrap/>
              <w:overflowPunct/>
              <w:topLinePunct w:val="0"/>
              <w:bidi w:val="0"/>
              <w:spacing w:line="540" w:lineRule="exact"/>
              <w:ind w:firstLine="92"/>
              <w:jc w:val="center"/>
              <w:rPr>
                <w:rFonts w:ascii="仿宋_GB2312" w:hAnsi="仿宋" w:eastAsia="仿宋" w:cs="宋体"/>
                <w:i/>
                <w:iCs/>
                <w:sz w:val="32"/>
                <w:szCs w:val="32"/>
              </w:rPr>
            </w:pPr>
            <w:r>
              <w:rPr>
                <w:rFonts w:hint="eastAsia" w:ascii="宋体" w:hAnsi="宋体" w:eastAsia="宋体" w:cs="宋体"/>
                <w:spacing w:val="-11"/>
                <w:sz w:val="32"/>
                <w:szCs w:val="32"/>
              </w:rPr>
              <w:t>无</w:t>
            </w:r>
          </w:p>
        </w:tc>
      </w:tr>
    </w:tbl>
    <w:p>
      <w:pPr>
        <w:keepNext w:val="0"/>
        <w:keepLines w:val="0"/>
        <w:pageBreakBefore w:val="0"/>
        <w:wordWrap/>
        <w:overflowPunct/>
        <w:topLinePunct w:val="0"/>
        <w:bidi w:val="0"/>
        <w:spacing w:line="540" w:lineRule="exact"/>
        <w:sectPr>
          <w:footerReference r:id="rId4" w:type="default"/>
          <w:pgSz w:w="11900" w:h="16830"/>
          <w:pgMar w:top="2098" w:right="1474" w:bottom="1984" w:left="1587" w:header="0" w:footer="627" w:gutter="0"/>
          <w:cols w:space="720" w:num="1"/>
        </w:sect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四、部门人员情况说明</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249"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截止2021年底,本部门人员编制</w:t>
      </w:r>
      <w:r>
        <w:rPr>
          <w:rFonts w:hint="eastAsia" w:ascii="仿宋" w:hAnsi="仿宋" w:eastAsia="仿宋" w:cs="仿宋"/>
          <w:sz w:val="32"/>
          <w:szCs w:val="32"/>
          <w:lang w:val="en-US" w:eastAsia="zh-CN"/>
        </w:rPr>
        <w:t>35</w:t>
      </w:r>
      <w:r>
        <w:rPr>
          <w:rFonts w:hint="eastAsia" w:ascii="仿宋" w:hAnsi="仿宋" w:eastAsia="仿宋" w:cs="仿宋"/>
          <w:sz w:val="32"/>
          <w:szCs w:val="32"/>
        </w:rPr>
        <w:t>人,其中</w:t>
      </w:r>
      <w:r>
        <w:rPr>
          <w:rFonts w:hint="eastAsia" w:ascii="仿宋" w:hAnsi="仿宋" w:eastAsia="仿宋" w:cs="仿宋"/>
          <w:sz w:val="32"/>
          <w:szCs w:val="32"/>
          <w:lang w:val="en-US" w:eastAsia="zh-CN"/>
        </w:rPr>
        <w:t>纳入全额财政预算</w:t>
      </w:r>
      <w:r>
        <w:rPr>
          <w:rFonts w:hint="eastAsia" w:ascii="仿宋" w:hAnsi="仿宋" w:eastAsia="仿宋" w:cs="仿宋"/>
          <w:sz w:val="32"/>
          <w:szCs w:val="32"/>
        </w:rPr>
        <w:t>行政20人、事业</w:t>
      </w:r>
      <w:r>
        <w:rPr>
          <w:rFonts w:hint="eastAsia" w:ascii="仿宋" w:hAnsi="仿宋" w:eastAsia="仿宋" w:cs="仿宋"/>
          <w:sz w:val="32"/>
          <w:szCs w:val="32"/>
          <w:lang w:val="en-US" w:eastAsia="zh-CN"/>
        </w:rPr>
        <w:t>15</w:t>
      </w:r>
      <w:r>
        <w:rPr>
          <w:rFonts w:hint="eastAsia" w:ascii="仿宋" w:hAnsi="仿宋" w:eastAsia="仿宋" w:cs="仿宋"/>
          <w:sz w:val="32"/>
          <w:szCs w:val="32"/>
        </w:rPr>
        <w:t>人。单位管理的离退休人员</w:t>
      </w:r>
      <w:r>
        <w:rPr>
          <w:rFonts w:hint="eastAsia" w:ascii="仿宋" w:hAnsi="仿宋" w:eastAsia="仿宋" w:cs="仿宋"/>
          <w:sz w:val="32"/>
          <w:szCs w:val="32"/>
          <w:lang w:val="en-US" w:eastAsia="zh-CN"/>
        </w:rPr>
        <w:t>3</w:t>
      </w:r>
      <w:r>
        <w:rPr>
          <w:rFonts w:hint="eastAsia" w:ascii="仿宋" w:hAnsi="仿宋" w:eastAsia="仿宋" w:cs="仿宋"/>
          <w:sz w:val="32"/>
          <w:szCs w:val="32"/>
        </w:rPr>
        <w:t>人。</w:t>
      </w:r>
    </w:p>
    <w:p>
      <w:pPr>
        <w:keepNext w:val="0"/>
        <w:keepLines w:val="0"/>
        <w:pageBreakBefore w:val="0"/>
        <w:widowControl/>
        <w:kinsoku w:val="0"/>
        <w:wordWrap/>
        <w:overflowPunct/>
        <w:topLinePunct w:val="0"/>
        <w:autoSpaceDE w:val="0"/>
        <w:autoSpaceDN w:val="0"/>
        <w:bidi w:val="0"/>
        <w:adjustRightInd w:val="0"/>
        <w:snapToGrid w:val="0"/>
        <w:spacing w:line="300" w:lineRule="exact"/>
        <w:ind w:right="249" w:firstLine="640" w:firstLineChars="200"/>
        <w:textAlignment w:val="baseline"/>
        <w:rPr>
          <w:rFonts w:hint="eastAsia" w:ascii="仿宋" w:hAnsi="仿宋" w:eastAsia="仿宋" w:cs="仿宋"/>
          <w:sz w:val="32"/>
          <w:szCs w:val="32"/>
        </w:rPr>
      </w:pPr>
    </w:p>
    <w:p>
      <w:pPr>
        <w:rPr>
          <w:rFonts w:hint="eastAsia" w:eastAsiaTheme="minorEastAsia"/>
          <w:lang w:eastAsia="zh-CN"/>
        </w:rPr>
      </w:pPr>
      <w:r>
        <w:rPr>
          <w:rFonts w:hint="eastAsia" w:eastAsiaTheme="minorEastAsia"/>
          <w:lang w:eastAsia="zh-CN"/>
        </w:rPr>
        <w:drawing>
          <wp:inline distT="0" distB="0" distL="114300" distR="114300">
            <wp:extent cx="5394325" cy="3905250"/>
            <wp:effectExtent l="4445" t="4445" r="11430" b="14605"/>
            <wp:docPr id="6" name="图表 6" descr="7b0a202020202263686172745265734964223a2022343536383330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hint="eastAsia" w:eastAsiaTheme="minorEastAsia"/>
          <w:lang w:eastAsia="zh-CN"/>
        </w:rPr>
      </w:pPr>
    </w:p>
    <w:p>
      <w:pPr>
        <w:rPr>
          <w:rFonts w:hint="eastAsia" w:eastAsiaTheme="minor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第二部分  收支情况</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五、2022年部门预算收支说明</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3" w:firstLineChars="200"/>
        <w:textAlignment w:val="baseline"/>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收支预算总体情况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按照综合预算的原则,本部门所有收入和支出均纳入部门预算管理。2022年本部门预算收入</w:t>
      </w:r>
      <w:r>
        <w:rPr>
          <w:rFonts w:hint="eastAsia" w:ascii="仿宋" w:hAnsi="仿宋" w:eastAsia="仿宋" w:cs="仿宋"/>
          <w:sz w:val="32"/>
          <w:szCs w:val="32"/>
          <w:lang w:val="en-US" w:eastAsia="zh-CN"/>
        </w:rPr>
        <w:t>390.78</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390.78</w:t>
      </w:r>
      <w:r>
        <w:rPr>
          <w:rFonts w:hint="eastAsia" w:ascii="仿宋" w:hAnsi="仿宋" w:eastAsia="仿宋" w:cs="仿宋"/>
          <w:sz w:val="32"/>
          <w:szCs w:val="32"/>
        </w:rPr>
        <w:t>万元。2022年本部门预算收入较上年</w:t>
      </w:r>
      <w:r>
        <w:rPr>
          <w:rFonts w:hint="eastAsia" w:ascii="仿宋" w:hAnsi="仿宋" w:eastAsia="仿宋" w:cs="仿宋"/>
          <w:sz w:val="32"/>
          <w:szCs w:val="32"/>
          <w:lang w:val="en-US" w:eastAsia="zh-CN"/>
        </w:rPr>
        <w:t>减少49.63</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专项经费减少</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87" w:firstLineChars="200"/>
        <w:jc w:val="left"/>
        <w:textAlignment w:val="baseline"/>
        <w:rPr>
          <w:rFonts w:hint="eastAsia" w:ascii="楷体" w:hAnsi="楷体" w:eastAsia="楷体" w:cs="楷体"/>
          <w:b/>
          <w:bCs/>
          <w:spacing w:val="11"/>
          <w:sz w:val="32"/>
          <w:szCs w:val="32"/>
          <w:lang w:val="en-US" w:eastAsia="zh-CN"/>
        </w:rPr>
      </w:pPr>
      <w:r>
        <w:rPr>
          <w:rFonts w:hint="eastAsia" w:ascii="楷体" w:hAnsi="楷体" w:eastAsia="楷体" w:cs="楷体"/>
          <w:b/>
          <w:bCs/>
          <w:spacing w:val="11"/>
          <w:sz w:val="32"/>
          <w:szCs w:val="32"/>
          <w:lang w:eastAsia="zh-CN"/>
        </w:rPr>
        <w:t>（</w:t>
      </w:r>
      <w:r>
        <w:rPr>
          <w:rFonts w:hint="eastAsia" w:ascii="楷体" w:hAnsi="楷体" w:eastAsia="楷体" w:cs="楷体"/>
          <w:b/>
          <w:bCs/>
          <w:spacing w:val="11"/>
          <w:sz w:val="32"/>
          <w:szCs w:val="32"/>
          <w:lang w:val="en-US" w:eastAsia="zh-CN"/>
        </w:rPr>
        <w:t>二</w:t>
      </w:r>
      <w:r>
        <w:rPr>
          <w:rFonts w:hint="eastAsia" w:ascii="楷体" w:hAnsi="楷体" w:eastAsia="楷体" w:cs="楷体"/>
          <w:b/>
          <w:bCs/>
          <w:spacing w:val="11"/>
          <w:sz w:val="32"/>
          <w:szCs w:val="32"/>
          <w:lang w:eastAsia="zh-CN"/>
        </w:rPr>
        <w:t>）</w:t>
      </w:r>
      <w:r>
        <w:rPr>
          <w:rFonts w:hint="eastAsia" w:ascii="楷体" w:hAnsi="楷体" w:eastAsia="楷体" w:cs="楷体"/>
          <w:b/>
          <w:bCs/>
          <w:spacing w:val="11"/>
          <w:sz w:val="32"/>
          <w:szCs w:val="32"/>
          <w:lang w:val="en-US" w:eastAsia="zh-CN"/>
        </w:rPr>
        <w:t>财政拨款收支情况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2022年本部门财政拨款收入</w:t>
      </w:r>
      <w:r>
        <w:rPr>
          <w:rFonts w:hint="eastAsia" w:ascii="仿宋" w:hAnsi="仿宋" w:eastAsia="仿宋" w:cs="仿宋"/>
          <w:sz w:val="32"/>
          <w:szCs w:val="32"/>
          <w:lang w:val="en-US" w:eastAsia="zh-CN"/>
        </w:rPr>
        <w:t>390.78</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390.78</w:t>
      </w:r>
      <w:r>
        <w:rPr>
          <w:rFonts w:hint="eastAsia" w:ascii="仿宋" w:hAnsi="仿宋" w:eastAsia="仿宋" w:cs="仿宋"/>
          <w:sz w:val="32"/>
          <w:szCs w:val="32"/>
        </w:rPr>
        <w:t>万元,2022年本部门财政拨款收入较上年</w:t>
      </w:r>
      <w:r>
        <w:rPr>
          <w:rFonts w:hint="eastAsia" w:ascii="仿宋" w:hAnsi="仿宋" w:eastAsia="仿宋" w:cs="仿宋"/>
          <w:sz w:val="32"/>
          <w:szCs w:val="32"/>
          <w:lang w:val="en-US" w:eastAsia="zh-CN"/>
        </w:rPr>
        <w:t>减少49.63</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专项经费减少</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3" w:firstLineChars="200"/>
        <w:textAlignment w:val="baseline"/>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一般公共预算拨款支出明细情况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1、一般公共预算当年拨款规模变化情况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2022年本部门当年一般公共预算拨款支出</w:t>
      </w:r>
      <w:r>
        <w:rPr>
          <w:rFonts w:hint="eastAsia" w:ascii="仿宋" w:hAnsi="仿宋" w:eastAsia="仿宋" w:cs="仿宋"/>
          <w:sz w:val="32"/>
          <w:szCs w:val="32"/>
          <w:lang w:val="en-US" w:eastAsia="zh-CN"/>
        </w:rPr>
        <w:t>390.78</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减少49.63</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专项经费减少</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2、支出按功能科目分类的明细情况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2022年本部门当年一般公共预算支出</w:t>
      </w:r>
      <w:r>
        <w:rPr>
          <w:rFonts w:hint="eastAsia" w:ascii="仿宋" w:hAnsi="仿宋" w:eastAsia="仿宋" w:cs="仿宋"/>
          <w:sz w:val="32"/>
          <w:szCs w:val="32"/>
          <w:lang w:val="en-US" w:eastAsia="zh-CN"/>
        </w:rPr>
        <w:t>390.78</w:t>
      </w:r>
      <w:r>
        <w:rPr>
          <w:rFonts w:hint="eastAsia" w:ascii="仿宋" w:hAnsi="仿宋" w:eastAsia="仿宋" w:cs="仿宋"/>
          <w:sz w:val="32"/>
          <w:szCs w:val="32"/>
        </w:rPr>
        <w:t>万元, 其</w:t>
      </w:r>
      <w:r>
        <w:rPr>
          <w:rFonts w:hint="eastAsia" w:ascii="仿宋" w:hAnsi="仿宋" w:eastAsia="仿宋" w:cs="仿宋"/>
          <w:sz w:val="32"/>
          <w:szCs w:val="32"/>
          <w:lang w:val="en-US" w:eastAsia="zh-CN"/>
        </w:rPr>
        <w:t>中：</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行政运行(</w:t>
      </w:r>
      <w:r>
        <w:rPr>
          <w:rFonts w:hint="eastAsia" w:ascii="仿宋" w:hAnsi="仿宋" w:eastAsia="仿宋" w:cs="仿宋"/>
          <w:sz w:val="32"/>
          <w:szCs w:val="32"/>
          <w:lang w:val="en-US" w:eastAsia="zh-CN"/>
        </w:rPr>
        <w:t>2120101</w:t>
      </w:r>
      <w:r>
        <w:rPr>
          <w:rFonts w:hint="eastAsia" w:ascii="仿宋" w:hAnsi="仿宋" w:eastAsia="仿宋" w:cs="仿宋"/>
          <w:sz w:val="32"/>
          <w:szCs w:val="32"/>
        </w:rPr>
        <w:t>)</w:t>
      </w:r>
      <w:r>
        <w:rPr>
          <w:rFonts w:hint="eastAsia" w:ascii="仿宋" w:hAnsi="仿宋" w:eastAsia="仿宋" w:cs="仿宋"/>
          <w:sz w:val="32"/>
          <w:szCs w:val="32"/>
          <w:lang w:val="en-US" w:eastAsia="zh-CN"/>
        </w:rPr>
        <w:t>284.31</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增加26.98</w:t>
      </w:r>
      <w:r>
        <w:rPr>
          <w:rFonts w:hint="eastAsia" w:ascii="仿宋" w:hAnsi="仿宋" w:eastAsia="仿宋" w:cs="仿宋"/>
          <w:sz w:val="32"/>
          <w:szCs w:val="32"/>
        </w:rPr>
        <w:t>万元,原因是人员工资福利待遇标准增加，预算收入增加</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机关事业单位基本养老保险缴费支出(2080505)</w:t>
      </w:r>
      <w:r>
        <w:rPr>
          <w:rFonts w:hint="eastAsia" w:ascii="仿宋" w:hAnsi="仿宋" w:eastAsia="仿宋" w:cs="仿宋"/>
          <w:sz w:val="32"/>
          <w:szCs w:val="32"/>
          <w:lang w:val="en-US" w:eastAsia="zh-CN"/>
        </w:rPr>
        <w:t>38.35</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增加1.12</w:t>
      </w:r>
      <w:r>
        <w:rPr>
          <w:rFonts w:hint="eastAsia" w:ascii="仿宋" w:hAnsi="仿宋" w:eastAsia="仿宋" w:cs="仿宋"/>
          <w:sz w:val="32"/>
          <w:szCs w:val="32"/>
        </w:rPr>
        <w:t>万元,原因是人员工资福利待遇标准增加，预算收入增加</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机关事业单位职业年金缴费支出(2080506)</w:t>
      </w:r>
      <w:r>
        <w:rPr>
          <w:rFonts w:hint="eastAsia" w:ascii="仿宋" w:hAnsi="仿宋" w:eastAsia="仿宋" w:cs="仿宋"/>
          <w:sz w:val="32"/>
          <w:szCs w:val="32"/>
          <w:lang w:val="en-US" w:eastAsia="zh-CN"/>
        </w:rPr>
        <w:t>19.17</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增加0.54</w:t>
      </w:r>
      <w:r>
        <w:rPr>
          <w:rFonts w:hint="eastAsia" w:ascii="仿宋" w:hAnsi="仿宋" w:eastAsia="仿宋" w:cs="仿宋"/>
          <w:sz w:val="32"/>
          <w:szCs w:val="32"/>
        </w:rPr>
        <w:t>万元,原因是人员工资福利待遇标准增加，预算收入增加</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行政单位医疗(2101101)</w:t>
      </w:r>
      <w:r>
        <w:rPr>
          <w:rFonts w:hint="eastAsia" w:ascii="仿宋" w:hAnsi="仿宋" w:eastAsia="仿宋" w:cs="仿宋"/>
          <w:sz w:val="32"/>
          <w:szCs w:val="32"/>
          <w:lang w:val="en-US" w:eastAsia="zh-CN"/>
        </w:rPr>
        <w:t>20.08</w:t>
      </w:r>
      <w:r>
        <w:rPr>
          <w:rFonts w:hint="eastAsia" w:ascii="仿宋" w:hAnsi="仿宋" w:eastAsia="仿宋" w:cs="仿宋"/>
          <w:sz w:val="32"/>
          <w:szCs w:val="32"/>
        </w:rPr>
        <w:t xml:space="preserve">万元,较上年增加 </w:t>
      </w:r>
      <w:r>
        <w:rPr>
          <w:rFonts w:hint="eastAsia" w:ascii="仿宋" w:hAnsi="仿宋" w:eastAsia="仿宋" w:cs="仿宋"/>
          <w:sz w:val="32"/>
          <w:szCs w:val="32"/>
          <w:lang w:val="en-US" w:eastAsia="zh-CN"/>
        </w:rPr>
        <w:t>0.87</w:t>
      </w:r>
      <w:r>
        <w:rPr>
          <w:rFonts w:hint="eastAsia" w:ascii="仿宋" w:hAnsi="仿宋" w:eastAsia="仿宋" w:cs="仿宋"/>
          <w:sz w:val="32"/>
          <w:szCs w:val="32"/>
        </w:rPr>
        <w:t>万元,原因是人员工资福利待遇标准增加，预算收入增加</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住房公积金（2210201）</w:t>
      </w:r>
      <w:r>
        <w:rPr>
          <w:rFonts w:hint="eastAsia" w:ascii="仿宋" w:hAnsi="仿宋" w:eastAsia="仿宋" w:cs="仿宋"/>
          <w:sz w:val="32"/>
          <w:szCs w:val="32"/>
          <w:lang w:val="en-US" w:eastAsia="zh-CN"/>
        </w:rPr>
        <w:t>28.87</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增加0.84</w:t>
      </w:r>
      <w:r>
        <w:rPr>
          <w:rFonts w:hint="eastAsia" w:ascii="仿宋" w:hAnsi="仿宋" w:eastAsia="仿宋" w:cs="仿宋"/>
          <w:sz w:val="32"/>
          <w:szCs w:val="32"/>
        </w:rPr>
        <w:t>万元，原因是人员工资福利待遇标准增加，预算收入增加</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支出按经济科目分类的明细情况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按照部门预算支出经济分类</w:t>
      </w:r>
      <w:r>
        <w:rPr>
          <w:rFonts w:hint="eastAsia" w:ascii="仿宋" w:hAnsi="仿宋" w:eastAsia="仿宋" w:cs="仿宋"/>
          <w:sz w:val="32"/>
          <w:szCs w:val="32"/>
          <w:lang w:val="en-US" w:eastAsia="zh-CN"/>
        </w:rPr>
        <w:t>:</w:t>
      </w:r>
      <w:r>
        <w:rPr>
          <w:rFonts w:hint="eastAsia" w:ascii="仿宋" w:hAnsi="仿宋" w:eastAsia="仿宋" w:cs="仿宋"/>
          <w:sz w:val="32"/>
          <w:szCs w:val="32"/>
        </w:rPr>
        <w:t>2022年本部门当年一般公共预算支出</w:t>
      </w:r>
      <w:r>
        <w:rPr>
          <w:rFonts w:hint="eastAsia" w:ascii="仿宋" w:hAnsi="仿宋" w:eastAsia="仿宋" w:cs="仿宋"/>
          <w:sz w:val="32"/>
          <w:szCs w:val="32"/>
          <w:lang w:val="en-US" w:eastAsia="zh-CN"/>
        </w:rPr>
        <w:t>390.78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其中:工资福利支出(301)</w:t>
      </w:r>
      <w:r>
        <w:rPr>
          <w:rFonts w:hint="eastAsia" w:ascii="仿宋" w:hAnsi="仿宋" w:eastAsia="仿宋" w:cs="仿宋"/>
          <w:sz w:val="32"/>
          <w:szCs w:val="32"/>
          <w:lang w:val="en-US" w:eastAsia="zh-CN"/>
        </w:rPr>
        <w:t>360.18</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增加7.37</w:t>
      </w:r>
      <w:r>
        <w:rPr>
          <w:rFonts w:hint="eastAsia" w:ascii="仿宋" w:hAnsi="仿宋" w:eastAsia="仿宋" w:cs="仿宋"/>
          <w:sz w:val="32"/>
          <w:szCs w:val="32"/>
        </w:rPr>
        <w:t>万元,主要原因人员工资福利待遇标准增加，预算收入增加</w:t>
      </w:r>
      <w:r>
        <w:rPr>
          <w:rFonts w:hint="eastAsia" w:ascii="仿宋" w:hAnsi="仿宋" w:eastAsia="仿宋" w:cs="仿宋"/>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商品和服务支出(302)</w:t>
      </w:r>
      <w:r>
        <w:rPr>
          <w:rFonts w:hint="eastAsia" w:ascii="仿宋" w:hAnsi="仿宋" w:eastAsia="仿宋" w:cs="仿宋"/>
          <w:sz w:val="32"/>
          <w:szCs w:val="32"/>
          <w:lang w:val="en-US" w:eastAsia="zh-CN"/>
        </w:rPr>
        <w:t>30.6</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减少57</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专项经费减少</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对个人和家庭的补助支出(303)</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万元,较上年减少0万元，原因</w:t>
      </w:r>
      <w:r>
        <w:rPr>
          <w:rFonts w:hint="eastAsia" w:ascii="仿宋" w:hAnsi="仿宋" w:eastAsia="仿宋" w:cs="仿宋"/>
          <w:sz w:val="32"/>
          <w:szCs w:val="32"/>
          <w:lang w:val="en-US" w:eastAsia="zh-CN"/>
        </w:rPr>
        <w:t>是无对个人和家庭补助支出</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按照政府预算支出经济分类</w:t>
      </w:r>
      <w:r>
        <w:rPr>
          <w:rFonts w:hint="eastAsia" w:ascii="仿宋" w:hAnsi="仿宋" w:eastAsia="仿宋" w:cs="仿宋"/>
          <w:sz w:val="32"/>
          <w:szCs w:val="32"/>
          <w:lang w:eastAsia="zh-CN"/>
        </w:rPr>
        <w:t>：</w:t>
      </w:r>
      <w:r>
        <w:rPr>
          <w:rFonts w:hint="eastAsia" w:ascii="仿宋" w:hAnsi="仿宋" w:eastAsia="仿宋" w:cs="仿宋"/>
          <w:sz w:val="32"/>
          <w:szCs w:val="32"/>
        </w:rPr>
        <w:t>2022年本部门当年一般公共预算支出</w:t>
      </w:r>
      <w:r>
        <w:rPr>
          <w:rFonts w:hint="eastAsia" w:ascii="仿宋" w:hAnsi="仿宋" w:eastAsia="仿宋" w:cs="仿宋"/>
          <w:sz w:val="32"/>
          <w:szCs w:val="32"/>
          <w:lang w:val="en-US" w:eastAsia="zh-CN"/>
        </w:rPr>
        <w:t>390.78</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其中:机关工资福利支出(501) </w:t>
      </w:r>
      <w:r>
        <w:rPr>
          <w:rFonts w:hint="eastAsia" w:ascii="仿宋" w:hAnsi="仿宋" w:eastAsia="仿宋" w:cs="仿宋"/>
          <w:sz w:val="32"/>
          <w:szCs w:val="32"/>
          <w:lang w:val="en-US" w:eastAsia="zh-CN"/>
        </w:rPr>
        <w:t>360.18</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7.37</w:t>
      </w:r>
      <w:r>
        <w:rPr>
          <w:rFonts w:hint="eastAsia" w:ascii="仿宋" w:hAnsi="仿宋" w:eastAsia="仿宋" w:cs="仿宋"/>
          <w:sz w:val="32"/>
          <w:szCs w:val="32"/>
        </w:rPr>
        <w:t>万元,原因是人员工资福利待遇标准增加，预算收入增加;</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机关商品和服务支出(502)</w:t>
      </w:r>
      <w:r>
        <w:rPr>
          <w:rFonts w:hint="eastAsia" w:ascii="仿宋" w:hAnsi="仿宋" w:eastAsia="仿宋" w:cs="仿宋"/>
          <w:sz w:val="32"/>
          <w:szCs w:val="32"/>
          <w:lang w:val="en-US" w:eastAsia="zh-CN"/>
        </w:rPr>
        <w:t>30.6</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减少57</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专项经费减少；</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对个人和家庭的补助(509) </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万元,较上年减少0万元，原因</w:t>
      </w:r>
      <w:r>
        <w:rPr>
          <w:rFonts w:hint="eastAsia" w:ascii="仿宋" w:hAnsi="仿宋" w:eastAsia="仿宋" w:cs="仿宋"/>
          <w:sz w:val="32"/>
          <w:szCs w:val="32"/>
          <w:lang w:val="en-US" w:eastAsia="zh-CN"/>
        </w:rPr>
        <w:t>是无对个人和家庭补助支出</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3" w:firstLineChars="200"/>
        <w:textAlignment w:val="baseline"/>
        <w:rPr>
          <w:rFonts w:hint="eastAsia" w:ascii="仿宋" w:hAnsi="仿宋" w:eastAsia="仿宋" w:cs="仿宋"/>
          <w:b/>
          <w:bCs/>
          <w:sz w:val="32"/>
          <w:szCs w:val="32"/>
        </w:rPr>
      </w:pPr>
      <w:r>
        <w:rPr>
          <w:rFonts w:hint="eastAsia" w:ascii="仿宋" w:hAnsi="仿宋" w:eastAsia="仿宋" w:cs="仿宋"/>
          <w:b/>
          <w:bCs/>
          <w:sz w:val="32"/>
          <w:szCs w:val="32"/>
        </w:rPr>
        <w:t>4、上年结转财政资金一般公共预算拨款支出情况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本部门无2021年结转的一般公共预算拨款资金支出。</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3" w:firstLineChars="200"/>
        <w:textAlignment w:val="baseline"/>
        <w:rPr>
          <w:rFonts w:hint="eastAsia" w:ascii="楷体" w:hAnsi="楷体" w:eastAsia="楷体" w:cs="楷体"/>
          <w:b/>
          <w:bCs/>
          <w:sz w:val="32"/>
          <w:szCs w:val="32"/>
        </w:rPr>
      </w:pPr>
      <w:r>
        <w:rPr>
          <w:rFonts w:hint="eastAsia" w:ascii="楷体" w:hAnsi="楷体" w:eastAsia="楷体" w:cs="楷体"/>
          <w:b/>
          <w:bCs/>
          <w:sz w:val="32"/>
          <w:szCs w:val="32"/>
        </w:rPr>
        <w:t>(四)政府性基金预算支出情况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本部门无2021年结转的政府性基金预算拨款收支, 并已公开空表</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3" w:firstLineChars="200"/>
        <w:textAlignment w:val="baseline"/>
        <w:rPr>
          <w:rFonts w:hint="eastAsia" w:ascii="楷体" w:hAnsi="楷体" w:eastAsia="楷体" w:cs="楷体"/>
          <w:b/>
          <w:bCs/>
          <w:sz w:val="32"/>
          <w:szCs w:val="32"/>
        </w:rPr>
      </w:pPr>
      <w:r>
        <w:rPr>
          <w:rFonts w:hint="eastAsia" w:ascii="楷体" w:hAnsi="楷体" w:eastAsia="楷体" w:cs="楷体"/>
          <w:b/>
          <w:bCs/>
          <w:sz w:val="32"/>
          <w:szCs w:val="32"/>
        </w:rPr>
        <w:t>(五)国有资本经营预算拨款收支情况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本部门无2021年结转的国有资本经营预算拨款收支</w:t>
      </w:r>
      <w:r>
        <w:rPr>
          <w:rFonts w:hint="eastAsia" w:ascii="仿宋" w:hAnsi="仿宋" w:eastAsia="仿宋" w:cs="仿宋"/>
          <w:sz w:val="32"/>
          <w:szCs w:val="32"/>
          <w:lang w:eastAsia="zh-CN"/>
        </w:rPr>
        <w:t>，</w:t>
      </w:r>
      <w:r>
        <w:rPr>
          <w:rFonts w:hint="eastAsia" w:ascii="仿宋" w:hAnsi="仿宋" w:eastAsia="仿宋" w:cs="仿宋"/>
          <w:sz w:val="32"/>
          <w:szCs w:val="32"/>
        </w:rPr>
        <w:t>并在财政拨款收支总体情况表中列示。</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168" w:firstLine="650"/>
        <w:textAlignment w:val="baseline"/>
        <w:rPr>
          <w:rFonts w:hint="eastAsia" w:ascii="仿宋_GB2312" w:hAnsi="仿宋" w:eastAsia="仿宋_GB2312" w:cs="仿宋"/>
          <w:spacing w:val="1"/>
          <w:sz w:val="34"/>
          <w:szCs w:val="34"/>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ascii="黑体" w:hAnsi="黑体" w:eastAsia="黑体" w:cs="黑体"/>
          <w:spacing w:val="-7"/>
          <w:sz w:val="34"/>
          <w:szCs w:val="34"/>
          <w14:textOutline w14:w="6172" w14:cap="flat" w14:cmpd="sng" w14:algn="ctr">
            <w14:solidFill>
              <w14:srgbClr w14:val="000000"/>
            </w14:solidFill>
            <w14:prstDash w14:val="solid"/>
            <w14:miter w14:val="0"/>
          </w14:textOutline>
        </w:rPr>
      </w:pPr>
    </w:p>
    <w:p>
      <w:pPr>
        <w:jc w:val="center"/>
        <w:rPr>
          <w:rFonts w:hint="eastAsia" w:ascii="黑体" w:hAnsi="黑体" w:eastAsia="黑体" w:cs="黑体"/>
          <w:sz w:val="32"/>
          <w:szCs w:val="32"/>
        </w:rPr>
      </w:pPr>
      <w:r>
        <w:rPr>
          <w:rFonts w:hint="eastAsia" w:ascii="黑体" w:hAnsi="黑体" w:eastAsia="黑体" w:cs="黑体"/>
          <w:sz w:val="32"/>
          <w:szCs w:val="32"/>
        </w:rPr>
        <w:t>第三部分其他说明情况</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jc w:val="both"/>
        <w:textAlignment w:val="baseline"/>
        <w:outlineLvl w:val="0"/>
      </w:pPr>
      <w:r>
        <w:rPr>
          <w:rFonts w:hint="eastAsia" w:ascii="黑体" w:hAnsi="黑体" w:eastAsia="黑体" w:cs="黑体"/>
          <w:sz w:val="32"/>
          <w:szCs w:val="32"/>
        </w:rPr>
        <w:t>六、部门预算"三公"经费等预算情况说明</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168" w:firstLine="650"/>
        <w:textAlignment w:val="baseline"/>
        <w:rPr>
          <w:rFonts w:ascii="黑体" w:hAnsi="黑体" w:eastAsia="黑体" w:cs="黑体"/>
          <w:spacing w:val="-22"/>
          <w:sz w:val="32"/>
          <w:szCs w:val="32"/>
          <w14:textOutline w14:w="6172" w14:cap="flat" w14:cmpd="sng" w14:algn="ctr">
            <w14:solidFill>
              <w14:srgbClr w14:val="000000"/>
            </w14:solidFill>
            <w14:prstDash w14:val="solid"/>
            <w14:miter w14:val="0"/>
          </w14:textOutline>
        </w:rPr>
      </w:pPr>
      <w:r>
        <w:rPr>
          <w:rFonts w:ascii="仿宋" w:hAnsi="仿宋" w:eastAsia="仿宋" w:cs="仿宋"/>
          <w:spacing w:val="-8"/>
          <w:sz w:val="32"/>
          <w:szCs w:val="32"/>
        </w:rPr>
        <w:t>2022年本部门一般公共预算</w:t>
      </w:r>
      <w:r>
        <w:rPr>
          <w:rFonts w:hint="eastAsia" w:ascii="仿宋" w:hAnsi="仿宋" w:eastAsia="仿宋" w:cs="仿宋"/>
          <w:spacing w:val="-8"/>
          <w:sz w:val="32"/>
          <w:szCs w:val="32"/>
        </w:rPr>
        <w:t>“</w:t>
      </w:r>
      <w:r>
        <w:rPr>
          <w:rFonts w:ascii="仿宋" w:hAnsi="仿宋" w:eastAsia="仿宋" w:cs="仿宋"/>
          <w:spacing w:val="-8"/>
          <w:sz w:val="32"/>
          <w:szCs w:val="32"/>
        </w:rPr>
        <w:t>三公</w:t>
      </w:r>
      <w:r>
        <w:rPr>
          <w:rFonts w:hint="eastAsia" w:ascii="仿宋" w:hAnsi="仿宋" w:eastAsia="仿宋" w:cs="仿宋"/>
          <w:spacing w:val="-8"/>
          <w:sz w:val="32"/>
          <w:szCs w:val="32"/>
        </w:rPr>
        <w:t>”</w:t>
      </w:r>
      <w:r>
        <w:rPr>
          <w:rFonts w:ascii="仿宋" w:hAnsi="仿宋" w:eastAsia="仿宋" w:cs="仿宋"/>
          <w:spacing w:val="-8"/>
          <w:sz w:val="32"/>
          <w:szCs w:val="32"/>
        </w:rPr>
        <w:t>经费预</w:t>
      </w:r>
      <w:r>
        <w:rPr>
          <w:rFonts w:ascii="仿宋" w:hAnsi="仿宋" w:eastAsia="仿宋" w:cs="仿宋"/>
          <w:spacing w:val="8"/>
          <w:sz w:val="32"/>
          <w:szCs w:val="32"/>
        </w:rPr>
        <w:t>算支出</w:t>
      </w:r>
      <w:r>
        <w:rPr>
          <w:rFonts w:hint="eastAsia" w:ascii="仿宋" w:hAnsi="仿宋" w:eastAsia="仿宋" w:cs="仿宋"/>
          <w:spacing w:val="8"/>
          <w:sz w:val="32"/>
          <w:szCs w:val="32"/>
          <w:lang w:val="en-US" w:eastAsia="zh-CN"/>
        </w:rPr>
        <w:t>0</w:t>
      </w:r>
      <w:r>
        <w:rPr>
          <w:rFonts w:ascii="仿宋" w:hAnsi="仿宋" w:eastAsia="仿宋" w:cs="仿宋"/>
          <w:spacing w:val="8"/>
          <w:sz w:val="32"/>
          <w:szCs w:val="32"/>
        </w:rPr>
        <w:t>万元,较上年增加</w:t>
      </w:r>
      <w:r>
        <w:rPr>
          <w:rFonts w:hint="eastAsia" w:ascii="仿宋" w:hAnsi="仿宋" w:eastAsia="仿宋" w:cs="仿宋"/>
          <w:spacing w:val="8"/>
          <w:sz w:val="32"/>
          <w:szCs w:val="32"/>
          <w:lang w:val="en-US" w:eastAsia="zh-CN"/>
        </w:rPr>
        <w:t>0</w:t>
      </w:r>
      <w:r>
        <w:rPr>
          <w:rFonts w:ascii="仿宋" w:hAnsi="仿宋" w:eastAsia="仿宋" w:cs="仿宋"/>
          <w:spacing w:val="8"/>
          <w:sz w:val="32"/>
          <w:szCs w:val="32"/>
        </w:rPr>
        <w:t>万元</w:t>
      </w:r>
      <w:r>
        <w:rPr>
          <w:rFonts w:ascii="仿宋" w:hAnsi="仿宋" w:eastAsia="仿宋" w:cs="仿宋"/>
          <w:spacing w:val="-17"/>
          <w:w w:val="99"/>
          <w:sz w:val="32"/>
          <w:szCs w:val="32"/>
        </w:rPr>
        <w:t>。</w:t>
      </w:r>
      <w:r>
        <w:rPr>
          <w:rFonts w:ascii="仿宋" w:hAnsi="仿宋" w:eastAsia="仿宋" w:cs="仿宋"/>
          <w:spacing w:val="16"/>
          <w:sz w:val="32"/>
          <w:szCs w:val="32"/>
        </w:rPr>
        <w:t>无2021</w:t>
      </w:r>
      <w:r>
        <w:rPr>
          <w:rFonts w:ascii="仿宋" w:hAnsi="仿宋" w:eastAsia="仿宋" w:cs="仿宋"/>
          <w:spacing w:val="-8"/>
          <w:sz w:val="32"/>
          <w:szCs w:val="32"/>
        </w:rPr>
        <w:t>年结转的</w:t>
      </w:r>
      <w:r>
        <w:rPr>
          <w:rFonts w:hint="eastAsia" w:ascii="仿宋" w:hAnsi="仿宋" w:eastAsia="仿宋" w:cs="仿宋"/>
          <w:spacing w:val="-8"/>
          <w:sz w:val="32"/>
          <w:szCs w:val="32"/>
        </w:rPr>
        <w:t>“</w:t>
      </w:r>
      <w:r>
        <w:rPr>
          <w:rFonts w:ascii="仿宋" w:hAnsi="仿宋" w:eastAsia="仿宋" w:cs="仿宋"/>
          <w:spacing w:val="-8"/>
          <w:sz w:val="32"/>
          <w:szCs w:val="32"/>
        </w:rPr>
        <w:t>三公</w:t>
      </w:r>
      <w:r>
        <w:rPr>
          <w:rFonts w:hint="eastAsia" w:ascii="仿宋" w:hAnsi="仿宋" w:eastAsia="仿宋" w:cs="仿宋"/>
          <w:spacing w:val="-8"/>
          <w:sz w:val="32"/>
          <w:szCs w:val="32"/>
        </w:rPr>
        <w:t>”</w:t>
      </w:r>
      <w:r>
        <w:rPr>
          <w:rFonts w:ascii="仿宋" w:hAnsi="仿宋" w:eastAsia="仿宋" w:cs="仿宋"/>
          <w:spacing w:val="-8"/>
          <w:sz w:val="32"/>
          <w:szCs w:val="32"/>
        </w:rPr>
        <w:t>经费支出。</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54"/>
        <w:textAlignment w:val="baseline"/>
        <w:outlineLvl w:val="0"/>
      </w:pPr>
      <w:r>
        <w:rPr>
          <w:rFonts w:hint="eastAsia" w:ascii="黑体" w:hAnsi="黑体" w:eastAsia="黑体" w:cs="黑体"/>
          <w:sz w:val="32"/>
          <w:szCs w:val="32"/>
        </w:rPr>
        <w:t>七、部门国有资产占有使用及资产购置情况说明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截止2021年底,本部门所属预算单位共有车辆0辆,单价20万元以上的设备0台(套)。2022年当年部门预算安排购置车辆0辆;安排购置单价20万元以上的设备0台(套)。</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本部门无2021年结转的财政拨款支出资产购置。</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54"/>
        <w:textAlignment w:val="baseline"/>
        <w:outlineLvl w:val="0"/>
        <w:rPr>
          <w:rFonts w:hint="eastAsia" w:ascii="黑体" w:hAnsi="黑体" w:eastAsia="黑体" w:cs="黑体"/>
          <w:sz w:val="32"/>
          <w:szCs w:val="32"/>
        </w:rPr>
      </w:pPr>
      <w:r>
        <w:rPr>
          <w:rFonts w:hint="eastAsia" w:ascii="黑体" w:hAnsi="黑体" w:eastAsia="黑体" w:cs="黑体"/>
          <w:sz w:val="32"/>
          <w:szCs w:val="32"/>
        </w:rPr>
        <w:t>八、政府采购情况说明</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139" w:firstLine="680"/>
        <w:textAlignment w:val="baseline"/>
        <w:rPr>
          <w:rFonts w:ascii="仿宋" w:hAnsi="仿宋" w:eastAsia="仿宋" w:cs="仿宋"/>
          <w:sz w:val="32"/>
          <w:szCs w:val="32"/>
        </w:rPr>
      </w:pPr>
      <w:r>
        <w:rPr>
          <w:rFonts w:ascii="仿宋" w:hAnsi="仿宋" w:eastAsia="仿宋" w:cs="仿宋"/>
          <w:spacing w:val="12"/>
          <w:sz w:val="32"/>
          <w:szCs w:val="32"/>
        </w:rPr>
        <w:t>本部门2021年无政府采购预算,并</w:t>
      </w:r>
      <w:r>
        <w:rPr>
          <w:rFonts w:ascii="仿宋" w:hAnsi="仿宋" w:eastAsia="仿宋" w:cs="仿宋"/>
          <w:spacing w:val="-16"/>
          <w:w w:val="98"/>
          <w:sz w:val="32"/>
          <w:szCs w:val="32"/>
        </w:rPr>
        <w:t>已公开空表。</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156" w:firstLine="680"/>
        <w:textAlignment w:val="baseline"/>
        <w:rPr>
          <w:rFonts w:ascii="黑体" w:hAnsi="黑体" w:eastAsia="黑体" w:cs="黑体"/>
          <w:spacing w:val="-22"/>
          <w:sz w:val="34"/>
          <w:szCs w:val="34"/>
          <w14:textOutline w14:w="6172" w14:cap="flat" w14:cmpd="sng" w14:algn="ctr">
            <w14:solidFill>
              <w14:srgbClr w14:val="000000"/>
            </w14:solidFill>
            <w14:prstDash w14:val="solid"/>
            <w14:miter w14:val="0"/>
          </w14:textOutline>
        </w:rPr>
      </w:pPr>
      <w:r>
        <w:rPr>
          <w:rFonts w:ascii="仿宋" w:hAnsi="仿宋" w:eastAsia="仿宋" w:cs="仿宋"/>
          <w:spacing w:val="3"/>
          <w:sz w:val="32"/>
          <w:szCs w:val="32"/>
        </w:rPr>
        <w:t>本部门无2021年结转的政府采购资</w:t>
      </w:r>
      <w:r>
        <w:rPr>
          <w:rFonts w:ascii="仿宋" w:hAnsi="仿宋" w:eastAsia="仿宋" w:cs="仿宋"/>
          <w:spacing w:val="-13"/>
          <w:sz w:val="32"/>
          <w:szCs w:val="32"/>
        </w:rPr>
        <w:t>金支出。</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84"/>
        <w:textAlignment w:val="baseline"/>
        <w:outlineLvl w:val="0"/>
        <w:rPr>
          <w:rFonts w:ascii="黑体" w:hAnsi="黑体" w:eastAsia="黑体" w:cs="黑体"/>
          <w:spacing w:val="-22"/>
          <w:sz w:val="34"/>
          <w:szCs w:val="34"/>
          <w14:textOutline w14:w="6172" w14:cap="flat" w14:cmpd="sng" w14:algn="ctr">
            <w14:solidFill>
              <w14:srgbClr w14:val="000000"/>
            </w14:solidFill>
            <w14:prstDash w14:val="solid"/>
            <w14:miter w14:val="0"/>
          </w14:textOutline>
        </w:rPr>
      </w:pPr>
      <w:r>
        <w:rPr>
          <w:rFonts w:hint="eastAsia" w:ascii="黑体" w:hAnsi="黑体" w:eastAsia="黑体" w:cs="黑体"/>
          <w:sz w:val="32"/>
          <w:szCs w:val="32"/>
        </w:rPr>
        <w:t>九、部门预算绩效目标情况说明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2022年本部门绩效目标管理全覆盖,涉及当年一般公共预算当年拨款</w:t>
      </w:r>
      <w:r>
        <w:rPr>
          <w:rFonts w:hint="eastAsia" w:ascii="仿宋" w:hAnsi="仿宋" w:eastAsia="仿宋" w:cs="仿宋"/>
          <w:sz w:val="32"/>
          <w:szCs w:val="32"/>
          <w:lang w:val="en-US" w:eastAsia="zh-CN"/>
        </w:rPr>
        <w:t>390.78</w:t>
      </w:r>
      <w:r>
        <w:rPr>
          <w:rFonts w:hint="eastAsia" w:ascii="仿宋" w:hAnsi="仿宋" w:eastAsia="仿宋" w:cs="仿宋"/>
          <w:sz w:val="32"/>
          <w:szCs w:val="32"/>
        </w:rPr>
        <w:t>万元,当年政府性基金预算当年拨款0万元,当年国有资本经营预算拨款0万元(详见公开报表中的绩效目标表）。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本部门无2021年结转的财政拨款支出涉及的绩效目标管理。</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54"/>
        <w:textAlignment w:val="baseline"/>
        <w:rPr>
          <w:rFonts w:ascii="黑体" w:hAnsi="黑体" w:eastAsia="黑体" w:cs="黑体"/>
          <w:sz w:val="34"/>
          <w:szCs w:val="34"/>
        </w:rPr>
      </w:pPr>
      <w:r>
        <w:rPr>
          <w:rFonts w:hint="eastAsia" w:ascii="黑体" w:hAnsi="黑体" w:eastAsia="黑体" w:cs="黑体"/>
          <w:sz w:val="32"/>
          <w:szCs w:val="32"/>
        </w:rPr>
        <w:t>十、机关运行经费安排情况说明</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182" w:firstLine="650"/>
        <w:textAlignment w:val="baseline"/>
        <w:rPr>
          <w:rFonts w:ascii="仿宋" w:hAnsi="仿宋" w:eastAsia="仿宋" w:cs="仿宋"/>
          <w:sz w:val="32"/>
          <w:szCs w:val="32"/>
        </w:rPr>
      </w:pPr>
      <w:r>
        <w:rPr>
          <w:rFonts w:ascii="仿宋" w:hAnsi="仿宋" w:eastAsia="仿宋" w:cs="仿宋"/>
          <w:spacing w:val="-5"/>
          <w:sz w:val="32"/>
          <w:szCs w:val="32"/>
        </w:rPr>
        <w:t>本部门当年机关运行经费预算安排</w:t>
      </w:r>
      <w:r>
        <w:rPr>
          <w:rFonts w:hint="eastAsia" w:ascii="仿宋" w:hAnsi="仿宋" w:eastAsia="仿宋" w:cs="仿宋"/>
          <w:spacing w:val="-5"/>
          <w:sz w:val="32"/>
          <w:szCs w:val="32"/>
          <w:lang w:val="en-US" w:eastAsia="zh-CN"/>
        </w:rPr>
        <w:t>10.6</w:t>
      </w:r>
      <w:r>
        <w:rPr>
          <w:rFonts w:ascii="仿宋" w:hAnsi="仿宋" w:eastAsia="仿宋" w:cs="仿宋"/>
          <w:spacing w:val="-5"/>
          <w:sz w:val="32"/>
          <w:szCs w:val="32"/>
        </w:rPr>
        <w:t>万元,较</w:t>
      </w:r>
      <w:r>
        <w:rPr>
          <w:rFonts w:ascii="仿宋" w:hAnsi="仿宋" w:eastAsia="仿宋" w:cs="仿宋"/>
          <w:spacing w:val="5"/>
          <w:sz w:val="32"/>
          <w:szCs w:val="32"/>
        </w:rPr>
        <w:t>上年增加</w:t>
      </w:r>
      <w:r>
        <w:rPr>
          <w:rFonts w:hint="eastAsia" w:ascii="仿宋" w:hAnsi="仿宋" w:eastAsia="仿宋" w:cs="仿宋"/>
          <w:spacing w:val="5"/>
          <w:sz w:val="32"/>
          <w:szCs w:val="32"/>
          <w:lang w:val="en-US" w:eastAsia="zh-CN"/>
        </w:rPr>
        <w:t>3</w:t>
      </w:r>
      <w:r>
        <w:rPr>
          <w:rFonts w:ascii="仿宋" w:hAnsi="仿宋" w:eastAsia="仿宋" w:cs="仿宋"/>
          <w:spacing w:val="5"/>
          <w:sz w:val="32"/>
          <w:szCs w:val="32"/>
        </w:rPr>
        <w:t>万元,主要原因是</w:t>
      </w:r>
      <w:r>
        <w:rPr>
          <w:rFonts w:hint="eastAsia" w:ascii="仿宋" w:hAnsi="仿宋" w:eastAsia="仿宋" w:cs="仿宋"/>
          <w:spacing w:val="5"/>
          <w:sz w:val="32"/>
          <w:szCs w:val="32"/>
          <w:lang w:val="en-US" w:eastAsia="zh-CN"/>
        </w:rPr>
        <w:t>工会经费3</w:t>
      </w:r>
      <w:r>
        <w:rPr>
          <w:rFonts w:hint="eastAsia" w:ascii="仿宋" w:hAnsi="仿宋" w:eastAsia="仿宋" w:cs="仿宋"/>
          <w:spacing w:val="5"/>
          <w:sz w:val="32"/>
          <w:szCs w:val="32"/>
        </w:rPr>
        <w:t>万元编入预算</w:t>
      </w:r>
      <w:r>
        <w:rPr>
          <w:rFonts w:ascii="仿宋" w:hAnsi="仿宋" w:eastAsia="仿宋" w:cs="仿宋"/>
          <w:spacing w:val="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229" w:firstLine="650"/>
        <w:textAlignment w:val="baseline"/>
        <w:rPr>
          <w:rFonts w:ascii="黑体" w:hAnsi="黑体" w:eastAsia="黑体" w:cs="黑体"/>
          <w:spacing w:val="-21"/>
          <w:sz w:val="32"/>
          <w:szCs w:val="32"/>
          <w14:textOutline w14:w="6172" w14:cap="flat" w14:cmpd="sng" w14:algn="ctr">
            <w14:solidFill>
              <w14:srgbClr w14:val="000000"/>
            </w14:solidFill>
            <w14:prstDash w14:val="solid"/>
            <w14:miter w14:val="0"/>
          </w14:textOutline>
        </w:rPr>
      </w:pPr>
      <w:r>
        <w:rPr>
          <w:rFonts w:ascii="仿宋" w:hAnsi="仿宋" w:eastAsia="仿宋" w:cs="仿宋"/>
          <w:spacing w:val="9"/>
          <w:sz w:val="32"/>
          <w:szCs w:val="32"/>
        </w:rPr>
        <w:t>本部门无2021年结转</w:t>
      </w:r>
      <w:r>
        <w:rPr>
          <w:rFonts w:ascii="仿宋" w:hAnsi="仿宋" w:eastAsia="仿宋" w:cs="仿宋"/>
          <w:spacing w:val="-16"/>
          <w:w w:val="99"/>
          <w:sz w:val="32"/>
          <w:szCs w:val="32"/>
        </w:rPr>
        <w:t>的财政拨款机关运行费支出。</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54"/>
        <w:textAlignment w:val="baseline"/>
      </w:pPr>
      <w:r>
        <w:rPr>
          <w:rFonts w:hint="eastAsia" w:ascii="黑体" w:hAnsi="黑体" w:eastAsia="黑体" w:cs="黑体"/>
          <w:sz w:val="32"/>
          <w:szCs w:val="32"/>
        </w:rPr>
        <w:t>十一、专业名词解释</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50"/>
        <w:textAlignment w:val="baseline"/>
        <w:rPr>
          <w:rFonts w:hint="eastAsia" w:ascii="仿宋" w:hAnsi="仿宋" w:eastAsia="仿宋" w:cs="仿宋"/>
          <w:sz w:val="32"/>
          <w:szCs w:val="32"/>
        </w:rPr>
      </w:pPr>
      <w:r>
        <w:rPr>
          <w:rFonts w:hint="eastAsia" w:ascii="仿宋" w:hAnsi="仿宋" w:eastAsia="仿宋" w:cs="仿宋"/>
          <w:spacing w:val="-9"/>
          <w:sz w:val="32"/>
          <w:szCs w:val="32"/>
        </w:rPr>
        <w:t>文字说明,机关运行经费为必须解释的专业名词,其他</w:t>
      </w:r>
      <w:r>
        <w:rPr>
          <w:rFonts w:hint="eastAsia" w:ascii="仿宋" w:hAnsi="仿宋" w:eastAsia="仿宋" w:cs="仿宋"/>
          <w:spacing w:val="-4"/>
          <w:sz w:val="32"/>
          <w:szCs w:val="32"/>
        </w:rPr>
        <w:t>专业名词解释可由部门根据内容业务内容等自行选择。</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40" w:lineRule="exact"/>
        <w:ind w:left="79" w:right="104" w:firstLine="679"/>
        <w:textAlignment w:val="baseline"/>
        <w:rPr>
          <w:rFonts w:hint="eastAsia" w:ascii="仿宋" w:hAnsi="仿宋" w:eastAsia="仿宋" w:cs="仿宋"/>
          <w:spacing w:val="-16"/>
          <w:sz w:val="32"/>
          <w:szCs w:val="32"/>
        </w:rPr>
      </w:pPr>
      <w:r>
        <w:rPr>
          <w:rFonts w:hint="eastAsia" w:ascii="仿宋" w:hAnsi="仿宋" w:eastAsia="仿宋" w:cs="仿宋"/>
          <w:spacing w:val="1"/>
          <w:sz w:val="32"/>
          <w:szCs w:val="32"/>
        </w:rPr>
        <w:t>机关运行经费:指各部门的公用经费,包括办公及印</w:t>
      </w:r>
      <w:r>
        <w:rPr>
          <w:rFonts w:hint="eastAsia" w:ascii="仿宋" w:hAnsi="仿宋" w:eastAsia="仿宋" w:cs="仿宋"/>
          <w:spacing w:val="-3"/>
          <w:sz w:val="32"/>
          <w:szCs w:val="32"/>
        </w:rPr>
        <w:t>刷费、邮电费、差旅费、会议费、福利费、日常维修费、专用材料及一般设备购置费、办公用房水电费、办公用房取暖</w:t>
      </w:r>
      <w:r>
        <w:rPr>
          <w:rFonts w:hint="eastAsia" w:ascii="仿宋" w:hAnsi="仿宋" w:eastAsia="仿宋" w:cs="仿宋"/>
          <w:spacing w:val="-4"/>
          <w:sz w:val="32"/>
          <w:szCs w:val="32"/>
        </w:rPr>
        <w:t>费、办公用房物业管理费、公务用车运行维护费以及其他费</w:t>
      </w:r>
      <w:r>
        <w:rPr>
          <w:rFonts w:hint="eastAsia" w:ascii="仿宋" w:hAnsi="仿宋" w:eastAsia="仿宋" w:cs="仿宋"/>
          <w:spacing w:val="-16"/>
          <w:sz w:val="32"/>
          <w:szCs w:val="32"/>
        </w:rPr>
        <w:t>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40" w:lineRule="exact"/>
        <w:ind w:left="758" w:leftChars="0" w:right="104" w:rightChars="0"/>
        <w:textAlignment w:val="baseline"/>
        <w:rPr>
          <w:rFonts w:hint="eastAsia" w:ascii="仿宋" w:hAnsi="仿宋" w:eastAsia="仿宋" w:cs="仿宋"/>
          <w:spacing w:val="-1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第四部分公开报表</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2764"/>
        <w:textAlignment w:val="baseline"/>
        <w:rPr>
          <w:rFonts w:ascii="黑体" w:hAnsi="黑体" w:eastAsia="黑体" w:cs="黑体"/>
          <w:spacing w:val="15"/>
          <w:sz w:val="32"/>
          <w:szCs w:val="32"/>
          <w14:textOutline w14:w="5816"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textAlignment w:val="baseline"/>
        <w:rPr>
          <w:rFonts w:hint="eastAsia" w:ascii="仿宋" w:hAnsi="仿宋" w:eastAsia="仿宋" w:cs="仿宋"/>
          <w:sz w:val="32"/>
          <w:szCs w:val="32"/>
        </w:rPr>
      </w:pPr>
      <w:r>
        <w:rPr>
          <w:rFonts w:hint="eastAsia" w:ascii="仿宋" w:hAnsi="仿宋" w:eastAsia="仿宋" w:cs="仿宋"/>
          <w:sz w:val="32"/>
          <w:szCs w:val="32"/>
        </w:rPr>
        <w:t>（具体部门预算公开报表）</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eastAsiaTheme="minorEastAsia"/>
          <w:lang w:eastAsia="zh-CN"/>
        </w:rPr>
      </w:pP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641F90-1DAA-4150-A603-9AC608111E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embedRegular r:id="rId2" w:fontKey="{900B180F-85FD-4382-848F-8A4AD93011AC}"/>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embedRegular r:id="rId3" w:fontKey="{D25FCB6E-DC73-4431-B629-C613233B52D9}"/>
  </w:font>
  <w:font w:name="方正小标宋简体">
    <w:panose1 w:val="02000000000000000000"/>
    <w:charset w:val="86"/>
    <w:family w:val="script"/>
    <w:pitch w:val="default"/>
    <w:sig w:usb0="00000001" w:usb1="080E0000" w:usb2="00000000" w:usb3="00000000" w:csb0="00040000" w:csb1="00000000"/>
    <w:embedRegular r:id="rId4" w:fontKey="{99143E12-9DC6-4532-A09C-B4290492E923}"/>
  </w:font>
  <w:font w:name="幼圆">
    <w:altName w:val="宋体"/>
    <w:panose1 w:val="02010509060101010101"/>
    <w:charset w:val="86"/>
    <w:family w:val="modern"/>
    <w:pitch w:val="default"/>
    <w:sig w:usb0="00000000" w:usb1="00000000" w:usb2="00000000" w:usb3="00000000" w:csb0="00040000" w:csb1="00000000"/>
    <w:embedRegular r:id="rId5" w:fontKey="{C108946A-CA79-47C8-BE92-894EEB66ECA6}"/>
  </w:font>
  <w:font w:name="仿宋_GB2312">
    <w:altName w:val="仿宋"/>
    <w:panose1 w:val="02010609030101010101"/>
    <w:charset w:val="86"/>
    <w:family w:val="modern"/>
    <w:pitch w:val="default"/>
    <w:sig w:usb0="00000000" w:usb1="00000000" w:usb2="00000000" w:usb3="00000000" w:csb0="00040000" w:csb1="00000000"/>
    <w:embedRegular r:id="rId6" w:fontKey="{8E213EC1-1774-48B7-B206-B3688EECE73D}"/>
  </w:font>
  <w:font w:name="仿宋">
    <w:panose1 w:val="02010609060101010101"/>
    <w:charset w:val="86"/>
    <w:family w:val="auto"/>
    <w:pitch w:val="default"/>
    <w:sig w:usb0="800002BF" w:usb1="38CF7CFA" w:usb2="00000016" w:usb3="00000000" w:csb0="00040001" w:csb1="00000000"/>
    <w:embedRegular r:id="rId7" w:fontKey="{B2A1BB0B-9D25-4618-A4F4-8DFDA7F0E517}"/>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exact"/>
      <w:ind w:firstLine="7590"/>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19F"/>
    <w:multiLevelType w:val="singleLevel"/>
    <w:tmpl w:val="D333F1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ZmVlNjdiYzFiZmU5NDc5MjY2MmJkZjY4OWYzZDMifQ=="/>
  </w:docVars>
  <w:rsids>
    <w:rsidRoot w:val="19344A4E"/>
    <w:rsid w:val="04057778"/>
    <w:rsid w:val="08063A4F"/>
    <w:rsid w:val="0B1F2891"/>
    <w:rsid w:val="0F985657"/>
    <w:rsid w:val="10991687"/>
    <w:rsid w:val="11934E08"/>
    <w:rsid w:val="127466B8"/>
    <w:rsid w:val="13370F25"/>
    <w:rsid w:val="17367264"/>
    <w:rsid w:val="19344A4E"/>
    <w:rsid w:val="1F683585"/>
    <w:rsid w:val="22370D00"/>
    <w:rsid w:val="234B06CD"/>
    <w:rsid w:val="250016A5"/>
    <w:rsid w:val="2D1E6703"/>
    <w:rsid w:val="2D516934"/>
    <w:rsid w:val="328E54CC"/>
    <w:rsid w:val="389C22FB"/>
    <w:rsid w:val="3B0E03F8"/>
    <w:rsid w:val="3BE25631"/>
    <w:rsid w:val="428D254A"/>
    <w:rsid w:val="44DA759D"/>
    <w:rsid w:val="466C06C8"/>
    <w:rsid w:val="47A23573"/>
    <w:rsid w:val="4BB676D3"/>
    <w:rsid w:val="4BDF6824"/>
    <w:rsid w:val="4C707A02"/>
    <w:rsid w:val="4CE27FE3"/>
    <w:rsid w:val="4EC92B5C"/>
    <w:rsid w:val="5CEA1F51"/>
    <w:rsid w:val="634F19C1"/>
    <w:rsid w:val="659E47E9"/>
    <w:rsid w:val="66F072D5"/>
    <w:rsid w:val="6E750C61"/>
    <w:rsid w:val="734D525A"/>
    <w:rsid w:val="7DBD2FDC"/>
    <w:rsid w:val="7FAD3C42"/>
    <w:rsid w:val="7FF93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Plain Text"/>
    <w:basedOn w:val="1"/>
    <w:qFormat/>
    <w:uiPriority w:val="0"/>
    <w:pPr>
      <w:widowControl w:val="0"/>
      <w:kinsoku/>
      <w:autoSpaceDE/>
      <w:autoSpaceDN/>
      <w:adjustRightInd/>
      <w:snapToGrid/>
      <w:jc w:val="both"/>
      <w:textAlignment w:val="auto"/>
    </w:pPr>
    <w:rPr>
      <w:rFonts w:ascii="楷体_GB2312" w:hAnsi="Courier New" w:eastAsia="楷体_GB2312" w:cstheme="minorBidi"/>
      <w:snapToGrid/>
      <w:color w:val="auto"/>
      <w:kern w:val="2"/>
      <w:sz w:val="32"/>
      <w:szCs w:val="20"/>
    </w:rPr>
  </w:style>
  <w:style w:type="paragraph" w:styleId="4">
    <w:name w:val="footer"/>
    <w:basedOn w:val="1"/>
    <w:qFormat/>
    <w:uiPriority w:val="0"/>
    <w:pPr>
      <w:tabs>
        <w:tab w:val="center" w:pos="4153"/>
        <w:tab w:val="right" w:pos="8306"/>
      </w:tabs>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bg1">
                    <a:lumMod val="65000"/>
                  </a:schemeClr>
                </a:solidFill>
                <a:effectLst/>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人员情况表</a:t>
            </a:r>
          </a:p>
        </c:rich>
      </c:tx>
      <c:layout>
        <c:manualLayout>
          <c:xMode val="edge"/>
          <c:yMode val="edge"/>
          <c:x val="0.0192056441076561"/>
          <c:y val="0.0308710033076075"/>
        </c:manualLayout>
      </c:layout>
      <c:overlay val="0"/>
      <c:spPr>
        <a:noFill/>
        <a:ln>
          <a:noFill/>
        </a:ln>
        <a:effectLst/>
      </c:spPr>
    </c:title>
    <c:autoTitleDeleted val="0"/>
    <c:plotArea>
      <c:layout>
        <c:manualLayout>
          <c:layoutTarget val="inner"/>
          <c:xMode val="edge"/>
          <c:yMode val="edge"/>
          <c:x val="0.0900312532791253"/>
          <c:y val="0.180255753587582"/>
          <c:w val="0.873734694843312"/>
          <c:h val="0.686161352212451"/>
        </c:manualLayout>
      </c:layout>
      <c:barChart>
        <c:barDir val="col"/>
        <c:grouping val="clustered"/>
        <c:varyColors val="0"/>
        <c:ser>
          <c:idx val="3"/>
          <c:order val="0"/>
          <c:tx>
            <c:strRef>
              <c:f>Sheet1!$B$1</c:f>
              <c:strCache>
                <c:ptCount val="1"/>
                <c:pt idx="0">
                  <c:v>系列 1</c:v>
                </c:pt>
              </c:strCache>
            </c:strRef>
          </c:tx>
          <c:spPr>
            <a:solidFill>
              <a:srgbClr val="9884F4">
                <a:alpha val="70000"/>
              </a:srgbClr>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bg1"/>
                        </a:solidFill>
                        <a:effectLst/>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35</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effectLst/>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实有人数</c:v>
                </c:pt>
                <c:pt idx="1">
                  <c:v>退休人数</c:v>
                </c:pt>
                <c:pt idx="2">
                  <c:v>离休人数</c:v>
                </c:pt>
              </c:strCache>
            </c:strRef>
          </c:cat>
          <c:val>
            <c:numRef>
              <c:f>Sheet1!$B$2:$B$4</c:f>
              <c:numCache>
                <c:formatCode>General</c:formatCode>
                <c:ptCount val="3"/>
                <c:pt idx="0">
                  <c:v>35</c:v>
                </c:pt>
                <c:pt idx="1">
                  <c:v>3</c:v>
                </c:pt>
                <c:pt idx="2">
                  <c:v>0</c:v>
                </c:pt>
              </c:numCache>
            </c:numRef>
          </c:val>
        </c:ser>
        <c:dLbls>
          <c:showLegendKey val="0"/>
          <c:showVal val="1"/>
          <c:showCatName val="0"/>
          <c:showSerName val="0"/>
          <c:showPercent val="0"/>
          <c:showBubbleSize val="0"/>
        </c:dLbls>
        <c:gapWidth val="120"/>
        <c:overlap val="22"/>
        <c:axId val="945495980"/>
        <c:axId val="654723833"/>
      </c:barChart>
      <c:catAx>
        <c:axId val="945495980"/>
        <c:scaling>
          <c:orientation val="minMax"/>
        </c:scaling>
        <c:delete val="0"/>
        <c:axPos val="b"/>
        <c:majorGridlines>
          <c:spPr>
            <a:ln w="3175" cap="flat" cmpd="sng" algn="ctr">
              <a:solidFill>
                <a:schemeClr val="bg1">
                  <a:lumMod val="85000"/>
                </a:schemeClr>
              </a:solidFill>
              <a:round/>
            </a:ln>
            <a:effectLst/>
          </c:spPr>
        </c:majorGridlines>
        <c:minorGridlines>
          <c:spPr>
            <a:ln w="3175" cap="flat" cmpd="sng" algn="ctr">
              <a:solidFill>
                <a:schemeClr val="bg1">
                  <a:lumMod val="85000"/>
                </a:schemeClr>
              </a:solidFill>
              <a:round/>
            </a:ln>
            <a:effectLst/>
          </c:spPr>
        </c:minorGridlines>
        <c:numFmt formatCode="General" sourceLinked="1"/>
        <c:majorTickMark val="in"/>
        <c:minorTickMark val="none"/>
        <c:tickLblPos val="nextTo"/>
        <c:spPr>
          <a:noFill/>
          <a:ln w="317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bg1">
                    <a:lumMod val="65000"/>
                  </a:schemeClr>
                </a:solidFill>
                <a:effectLst/>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654723833"/>
        <c:crosses val="autoZero"/>
        <c:auto val="1"/>
        <c:lblAlgn val="ctr"/>
        <c:lblOffset val="100"/>
        <c:noMultiLvlLbl val="0"/>
      </c:catAx>
      <c:valAx>
        <c:axId val="654723833"/>
        <c:scaling>
          <c:orientation val="minMax"/>
        </c:scaling>
        <c:delete val="0"/>
        <c:axPos val="l"/>
        <c:majorGridlines>
          <c:spPr>
            <a:ln w="317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bg1">
                    <a:lumMod val="6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945495980"/>
        <c:crosses val="autoZero"/>
        <c:crossBetween val="between"/>
      </c:valAx>
      <c:spPr>
        <a:solidFill>
          <a:schemeClr val="bg1"/>
        </a:solidFill>
        <a:ln w="3175">
          <a:noFill/>
        </a:ln>
        <a:effectLst/>
      </c:spPr>
    </c:plotArea>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4387</Words>
  <Characters>4698</Characters>
  <Lines>0</Lines>
  <Paragraphs>0</Paragraphs>
  <TotalTime>1</TotalTime>
  <ScaleCrop>false</ScaleCrop>
  <LinksUpToDate>false</LinksUpToDate>
  <CharactersWithSpaces>4717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2022-04-29T02:55:00Z</dcterms:created>
  <dc:creator>½</dc:creator>
  <cp:lastModifiedBy>玖月的小小酥</cp:lastModifiedBy>
  <cp:lastPrinted>2022-04-29T08:04:00Z</cp:lastPrinted>
  <dcterms:modified xsi:type="dcterms:W3CDTF">2022-04-29T10:12:43Z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866A961D55484BD7ACDEA9E0675F3EB7</vt:lpwstr>
  </property>
</Properties>
</file>