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陕西省绿化模范单位先进事迹材料</w:t>
      </w:r>
    </w:p>
    <w:bookmarkEnd w:id="0"/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1.商洛市林业局</w:t>
      </w:r>
    </w:p>
    <w:p>
      <w:pPr>
        <w:widowControl w:val="0"/>
        <w:spacing w:line="49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近年来，商洛市林业局</w:t>
      </w:r>
      <w:r>
        <w:rPr>
          <w:rFonts w:hint="eastAsia" w:ascii="仿宋" w:hAnsi="仿宋" w:eastAsia="仿宋"/>
          <w:kern w:val="0"/>
          <w:sz w:val="32"/>
          <w:szCs w:val="32"/>
        </w:rPr>
        <w:t>认真贯彻</w:t>
      </w:r>
      <w:r>
        <w:rPr>
          <w:rFonts w:hint="eastAsia" w:ascii="仿宋" w:hAnsi="仿宋" w:eastAsia="仿宋" w:cs="黑体"/>
          <w:bCs/>
          <w:kern w:val="0"/>
          <w:sz w:val="32"/>
          <w:szCs w:val="36"/>
        </w:rPr>
        <w:t>习近平生态文明思想，努力践行“绿水青山就是金山银山”理念，</w:t>
      </w:r>
      <w:r>
        <w:rPr>
          <w:rFonts w:hint="eastAsia" w:ascii="仿宋" w:hAnsi="仿宋" w:eastAsia="仿宋"/>
          <w:kern w:val="0"/>
          <w:sz w:val="32"/>
          <w:szCs w:val="32"/>
        </w:rPr>
        <w:t>紧紧围绕</w:t>
      </w:r>
      <w:r>
        <w:rPr>
          <w:rFonts w:hint="eastAsia" w:ascii="仿宋" w:hAnsi="仿宋" w:eastAsia="仿宋" w:cs="仿宋_GB2312"/>
          <w:sz w:val="32"/>
          <w:szCs w:val="32"/>
        </w:rPr>
        <w:t>市委、市政府</w:t>
      </w:r>
      <w:r>
        <w:rPr>
          <w:rFonts w:hint="eastAsia" w:ascii="仿宋" w:hAnsi="仿宋" w:eastAsia="仿宋"/>
          <w:kern w:val="0"/>
          <w:sz w:val="32"/>
          <w:szCs w:val="32"/>
        </w:rPr>
        <w:t>绿色商洛建设目标，坚持将市区城周困难立地和全市“两岸三线四区”重点区域绿化作为生态修复治理的主战场，发扬愚公移山精神和“牢记使命、艰苦创业、绿色发展”的塞罕坝精神，主动担当作为，勇于克难攻坚，强化措施推进，国土绿化各项工作取得突出成效。尤其是2016年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面对中心城区周边远绿近秃、绿化覆盖率低的现实，主动担当作为，牵头统筹，积极组织，努力克服立地条件差、施工难度大等各种困难，</w:t>
      </w:r>
      <w:r>
        <w:rPr>
          <w:rFonts w:hint="eastAsia" w:ascii="仿宋" w:hAnsi="仿宋" w:eastAsia="仿宋" w:cs="仿宋"/>
          <w:sz w:val="32"/>
          <w:szCs w:val="32"/>
        </w:rPr>
        <w:t>累计完成高标准、高质量治理造林2.63万亩，造林成活率、保存率均达95%以上，实现了一次造林，一次复绿增景。市区城周绿化工程的规模、难度和成效，得到中省市各级领导的充分肯定，中省媒体多次报道，被誉为塞罕坝精神在商洛的生动实践，工作经验在全省推广</w:t>
      </w:r>
      <w:r>
        <w:rPr>
          <w:rFonts w:hint="eastAsia" w:ascii="仿宋" w:hAnsi="仿宋" w:eastAsia="仿宋"/>
          <w:sz w:val="32"/>
          <w:szCs w:val="32"/>
        </w:rPr>
        <w:t>。同时，以此为样板，全力推进全市重点区域绿化造林工作快速开展。</w:t>
      </w:r>
      <w:r>
        <w:rPr>
          <w:rFonts w:hint="eastAsia" w:ascii="仿宋" w:hAnsi="仿宋" w:eastAsia="仿宋" w:cs="仿宋"/>
          <w:sz w:val="32"/>
          <w:szCs w:val="32"/>
        </w:rPr>
        <w:t>“十三五”期间，累计完成营造林324.8万亩，全市森林覆盖率由66.5%提高到69.56%。110万亩流岭飞播林区，成为我国西北地区规模最大、林相最好的飞播林基地。商洛</w:t>
      </w:r>
      <w:r>
        <w:rPr>
          <w:rFonts w:hint="eastAsia" w:ascii="仿宋" w:hAnsi="仿宋" w:eastAsia="仿宋"/>
          <w:sz w:val="32"/>
          <w:szCs w:val="32"/>
        </w:rPr>
        <w:t>先后荣获“国家森林城市”、“省级绿化模范城市”、“省级森林旅游示范市”等称号，市林业局</w:t>
      </w:r>
      <w:r>
        <w:rPr>
          <w:rFonts w:hint="eastAsia" w:ascii="仿宋" w:hAnsi="仿宋" w:eastAsia="仿宋" w:cs="仿宋_GB2312"/>
          <w:sz w:val="32"/>
          <w:szCs w:val="32"/>
        </w:rPr>
        <w:t>被授予“全国生态建设突出贡献”及全国“林业系统”、“集体林权制度改革”、“保护森林和野生动植物资源”先进集体，</w:t>
      </w:r>
      <w:r>
        <w:rPr>
          <w:rFonts w:hint="eastAsia" w:ascii="仿宋" w:hAnsi="仿宋" w:eastAsia="仿宋"/>
          <w:sz w:val="32"/>
          <w:szCs w:val="32"/>
        </w:rPr>
        <w:t>连续14年在市委市政府年度考核中被评为优秀单位</w:t>
      </w:r>
      <w:r>
        <w:rPr>
          <w:rFonts w:hint="eastAsia" w:ascii="仿宋" w:hAnsi="仿宋" w:eastAsia="仿宋" w:cs="仿宋_GB2312"/>
          <w:sz w:val="32"/>
          <w:szCs w:val="32"/>
        </w:rPr>
        <w:t>。全市五个县</w:t>
      </w:r>
      <w:r>
        <w:rPr>
          <w:rFonts w:hint="eastAsia" w:ascii="仿宋" w:hAnsi="仿宋" w:eastAsia="仿宋"/>
          <w:sz w:val="32"/>
          <w:szCs w:val="32"/>
        </w:rPr>
        <w:t>获得“全国绿化模范县”称号，</w:t>
      </w:r>
      <w:r>
        <w:rPr>
          <w:rFonts w:hint="eastAsia" w:ascii="仿宋" w:hAnsi="仿宋" w:eastAsia="仿宋" w:cs="仿宋_GB2312"/>
          <w:sz w:val="32"/>
          <w:szCs w:val="32"/>
        </w:rPr>
        <w:t>全市六县先后获得“省级森林城市”称号。</w:t>
      </w:r>
    </w:p>
    <w:p>
      <w:pPr>
        <w:pStyle w:val="2"/>
        <w:rPr>
          <w:rFonts w:hint="eastAsia"/>
          <w:lang w:val="en-US"/>
        </w:rPr>
      </w:pPr>
    </w:p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2.商洛市城市管理局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rightChars="0" w:firstLine="640" w:firstLineChars="200"/>
        <w:jc w:val="both"/>
        <w:textAlignment w:val="auto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近年来，商洛市城市管理局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深入学习贯彻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习近平生态文明思想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和习近平总书记来陕考察重要讲话精神，坚定“绿水青山就是金山银山”理念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坚决当好“秦岭生态卫士”。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“四城联创”决策部署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部门职能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切实发挥主力军、先锋队、排头兵的作用，于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2017年5月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在中心城市同步启动了以园林绿化建设为重要内容的“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省级生态园林城市和国家园林城市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实现创园工作与创森工作同部署、同推进，拉开全市“生态商洛”建设大幕。商洛市中心城区绿化建设紧密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围绕“绿满商洛•花映鹤城”主线，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创新开展了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“十万苗木扮鹤城”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绿荫行动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和“十万花卉香满城”专项行动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，实施了城市公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园绿化、道路绿化、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河道绿化、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门户区绿化、单位（居住区）庭院绿化以及边角地待建地绿化整治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等一大批扩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绿补绿、提色增质工程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，整座城市满目苍翠、风光旖旎，人在街上走、犹如画中游。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截止2020年底，商洛市建成区绿地率、绿化覆盖率和人均公园绿地面积分别达到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35.06%、39.29%和12.48㎡/人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，较创建前分别增长了9.16%、9.39%、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㎡/人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，增幅前所未有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创建中，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商洛市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整合力量、共享资源，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举全市之力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园林绿化建设，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商洛市于2018年12月28日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被陕西省人民政府命名为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“省级生态园林城市”，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2019年11月被国家林业和草原局命名为“国家森林城市”，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2020年9月28、29日一举通过国家园林城市创建技术初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，进入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候考名列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，全市生态文明建设迈上新台阶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。商洛市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也于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2021年7月22日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被商洛市委、市政府表彰为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工作表现突出集体”。</w:t>
      </w:r>
    </w:p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3.商州区林业局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年来，商州区林业局以党的十九大和十九届历次全会精神为指导，认真贯彻落实中、省、市林业工作会议精神，紧紧围绕“生态立区”战略和“美丽商州”建设，按照全区林业生态建设总体思路，立足本职，凝心聚力，克难攻坚，顽强拼搏，认真开展造林绿化、产业发展、森林资源保护和集体林权制度改革等项工作，较好完成林业发展“十三五”规划各项任务，多次被省市区评为造林绿化、产业发展、资源保护先进单位，为生态、人文、小康、法治商州建设做出新的贡献。“十三五”期间全区累计造林绿化32.1万亩，</w:t>
      </w:r>
      <w:r>
        <w:rPr>
          <w:rFonts w:hint="eastAsia" w:ascii="仿宋" w:hAnsi="仿宋" w:eastAsia="仿宋" w:cs="仿宋"/>
          <w:sz w:val="32"/>
          <w:szCs w:val="32"/>
        </w:rPr>
        <w:t>（其中：天保工程造林11.7万亩、退耕还林10.1万亩、城周及重点区域绿化4.3万亩、飞播造林6万亩），森林抚育4.4万亩，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先后实施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“十四运会”赛道国道、蟒岭绿道沿线、麻街木耳产业园、三岔河食用菌厂、大荆康城医药、氟化硅公司、市区重点项目周边绿化和江山景区等重点区域主绿化美化提升工程，打造了月亮湾、农兴2个村庄绿化示范样本，全区275个村庄绿化覆盖率达45.5%以上，</w:t>
      </w:r>
      <w:r>
        <w:rPr>
          <w:rFonts w:hint="eastAsia" w:ascii="仿宋" w:hAnsi="仿宋" w:eastAsia="仿宋" w:cs="仿宋"/>
          <w:sz w:val="32"/>
          <w:szCs w:val="32"/>
        </w:rPr>
        <w:t>林地面积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达到</w:t>
      </w:r>
      <w:r>
        <w:rPr>
          <w:rFonts w:hint="eastAsia" w:ascii="仿宋" w:hAnsi="仿宋" w:eastAsia="仿宋" w:cs="仿宋"/>
          <w:sz w:val="32"/>
          <w:szCs w:val="32"/>
        </w:rPr>
        <w:t>308.9万亩，森林覆盖率68.4%。</w:t>
      </w:r>
    </w:p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both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jc w:val="both"/>
        <w:rPr>
          <w:rFonts w:hint="eastAsia" w:ascii="仿宋_GB2312" w:hAnsi="宋体" w:eastAsia="仿宋_GB2312"/>
          <w:snapToGrid w:val="0"/>
          <w:spacing w:val="-2"/>
          <w:kern w:val="0"/>
          <w:sz w:val="24"/>
          <w:szCs w:val="20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4.山阳县林业局</w:t>
      </w:r>
    </w:p>
    <w:p>
      <w:pPr>
        <w:widowControl w:val="0"/>
        <w:spacing w:line="490" w:lineRule="exact"/>
        <w:ind w:firstLine="640" w:firstLineChars="200"/>
        <w:jc w:val="both"/>
        <w:textAlignment w:val="auto"/>
        <w:rPr>
          <w:rFonts w:hint="eastAsia" w:ascii="仿宋" w:hAnsi="仿宋" w:eastAsia="仿宋" w:cs="黑体"/>
          <w:bCs/>
          <w:kern w:val="0"/>
          <w:sz w:val="32"/>
          <w:szCs w:val="36"/>
          <w:lang w:val="en-US"/>
        </w:rPr>
      </w:pPr>
      <w:r>
        <w:rPr>
          <w:rFonts w:hint="eastAsia" w:ascii="仿宋" w:hAnsi="仿宋" w:eastAsia="仿宋" w:cs="黑体"/>
          <w:bCs/>
          <w:kern w:val="0"/>
          <w:sz w:val="32"/>
          <w:szCs w:val="36"/>
          <w:lang w:eastAsia="zh-CN"/>
        </w:rPr>
        <w:t>近年来</w:t>
      </w:r>
      <w:r>
        <w:rPr>
          <w:rFonts w:hint="eastAsia" w:ascii="仿宋" w:hAnsi="仿宋" w:eastAsia="仿宋" w:cs="黑体"/>
          <w:bCs/>
          <w:kern w:val="0"/>
          <w:sz w:val="32"/>
          <w:szCs w:val="36"/>
        </w:rPr>
        <w:t>，</w:t>
      </w:r>
      <w:r>
        <w:rPr>
          <w:rFonts w:hint="eastAsia" w:ascii="仿宋" w:hAnsi="仿宋" w:eastAsia="仿宋" w:cs="黑体"/>
          <w:bCs/>
          <w:kern w:val="0"/>
          <w:sz w:val="32"/>
          <w:szCs w:val="36"/>
          <w:lang w:val="en-US" w:eastAsia="zh-CN"/>
        </w:rPr>
        <w:t>山阳县林业局</w:t>
      </w:r>
      <w:r>
        <w:rPr>
          <w:rFonts w:hint="eastAsia" w:ascii="仿宋" w:hAnsi="仿宋" w:eastAsia="仿宋" w:cs="黑体"/>
          <w:bCs/>
          <w:kern w:val="0"/>
          <w:sz w:val="32"/>
          <w:szCs w:val="36"/>
        </w:rPr>
        <w:t>紧紧围绕“生态立县、产业兴县”要求，积极践行“青山绿水就是金山银山”生态文明理念，以国土增绿、产业增效、农民增收为目标，以生态修复、城乡绿化、产业增效、资源保护、生态脱贫、社会服务为重点，以省级森林城县建设为抓手，深化林业改革创新，强化资源监督管理，筑牢生态安全屏障，促进生态惠民富民，取得了显著成绩。</w:t>
      </w:r>
      <w:r>
        <w:rPr>
          <w:rFonts w:hint="eastAsia" w:ascii="仿宋" w:hAnsi="仿宋" w:eastAsia="仿宋" w:cs="黑体"/>
          <w:bCs/>
          <w:kern w:val="0"/>
          <w:sz w:val="32"/>
          <w:szCs w:val="36"/>
          <w:lang w:eastAsia="zh-CN"/>
        </w:rPr>
        <w:t>十三五期间，山阳县</w:t>
      </w:r>
      <w:r>
        <w:rPr>
          <w:rFonts w:hint="eastAsia" w:ascii="仿宋" w:hAnsi="仿宋" w:eastAsia="仿宋" w:cs="黑体"/>
          <w:bCs/>
          <w:kern w:val="0"/>
          <w:sz w:val="32"/>
          <w:szCs w:val="36"/>
          <w:lang w:val="en-US" w:eastAsia="zh-CN"/>
        </w:rPr>
        <w:t>完成国家重点工程营林造林61.6万亩，其中：人工造林22.6万亩，封山育林9.8万亩，飞播造林10.5万亩，森林抚育17万亩，退化林修复1.7万亩。围绕“两岸三线四区”，打造了一批规模大、标准高、质量优的城乡一体造林绿化工程，完成重点区域绿化8510亩，路堤绿化688公里、庭院绿化7153户、小区绿化2.44万平米，僧道关村、法官庙村、韦家垭村被授予“国家森林乡村”，天竺山森林公园入选首批国家森林康养基地，翠屏山公园被授予国家“互联网+全民义务植树”基地，两岔口核桃示范基地被认定为“第二批国家级核桃示范基地”，2021年获得“省级森林城市”称号，国土绿化绿化各项工作均取得了重大突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927F9"/>
    <w:rsid w:val="4C3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2022-02-14T00:53:00Z</dcterms:created>
  <dc:creator>孟鑫</dc:creator>
  <cp:lastModifiedBy>孟鑫</cp:lastModifiedBy>
  <dcterms:modified xsi:type="dcterms:W3CDTF">2022-02-14T03:14:06Z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