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40" w:lineRule="exact"/>
        <w:jc w:val="center"/>
        <w:rPr>
          <w:rFonts w:ascii="方正大标宋简体" w:eastAsia="方正大标宋简体"/>
          <w:b/>
          <w:color w:val="auto"/>
          <w:sz w:val="48"/>
          <w:szCs w:val="48"/>
        </w:rPr>
      </w:pPr>
      <w:r>
        <w:rPr>
          <w:rFonts w:hint="eastAsia" w:ascii="方正大标宋简体" w:eastAsia="方正大标宋简体"/>
          <w:b/>
          <w:color w:val="auto"/>
          <w:sz w:val="48"/>
          <w:szCs w:val="48"/>
        </w:rPr>
        <w:t>商洛市普通门诊医疗</w:t>
      </w:r>
      <w:r>
        <w:rPr>
          <w:rFonts w:hint="eastAsia" w:ascii="方正大标宋简体" w:eastAsia="方正大标宋简体"/>
          <w:b/>
          <w:color w:val="auto"/>
          <w:sz w:val="48"/>
          <w:szCs w:val="48"/>
          <w:lang w:val="en-US" w:eastAsia="zh-CN"/>
        </w:rPr>
        <w:t>保障</w:t>
      </w:r>
      <w:r>
        <w:rPr>
          <w:rFonts w:hint="eastAsia" w:ascii="方正大标宋简体" w:eastAsia="方正大标宋简体"/>
          <w:b/>
          <w:color w:val="auto"/>
          <w:sz w:val="48"/>
          <w:szCs w:val="48"/>
        </w:rPr>
        <w:t>服务协议</w:t>
      </w:r>
    </w:p>
    <w:p>
      <w:pPr>
        <w:spacing w:line="5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(适用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诊所、</w:t>
      </w:r>
      <w:r>
        <w:rPr>
          <w:rFonts w:hint="eastAsia" w:ascii="仿宋" w:hAnsi="仿宋" w:eastAsia="仿宋"/>
          <w:sz w:val="28"/>
          <w:szCs w:val="28"/>
        </w:rPr>
        <w:t>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/>
          <w:sz w:val="28"/>
          <w:szCs w:val="28"/>
        </w:rPr>
        <w:t>卫生室)</w:t>
      </w:r>
    </w:p>
    <w:p>
      <w:pPr>
        <w:pStyle w:val="6"/>
        <w:spacing w:before="0" w:beforeAutospacing="0" w:after="0" w:afterAutospacing="0" w:line="540" w:lineRule="exact"/>
        <w:jc w:val="center"/>
        <w:rPr>
          <w:rFonts w:ascii="仿宋_GB2312" w:eastAsia="仿宋_GB2312"/>
          <w:kern w:val="2"/>
          <w:sz w:val="28"/>
          <w:szCs w:val="28"/>
        </w:rPr>
      </w:pPr>
    </w:p>
    <w:p>
      <w:pPr>
        <w:spacing w:line="540" w:lineRule="exact"/>
        <w:rPr>
          <w:rFonts w:ascii="黑体" w:eastAsia="黑体"/>
          <w:b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甲    方：</w:t>
      </w:r>
      <w:r>
        <w:rPr>
          <w:rFonts w:ascii="楷体_GB2312" w:eastAsia="楷体_GB2312"/>
          <w:b/>
          <w:sz w:val="30"/>
          <w:szCs w:val="32"/>
          <w:u w:val="single"/>
        </w:rPr>
        <w:t xml:space="preserve">  </w:t>
      </w:r>
      <w:r>
        <w:rPr>
          <w:rFonts w:hint="eastAsia" w:ascii="楷体_GB2312" w:eastAsia="楷体_GB2312"/>
          <w:b/>
          <w:sz w:val="30"/>
          <w:szCs w:val="32"/>
          <w:u w:val="single"/>
        </w:rPr>
        <w:t xml:space="preserve">                  </w:t>
      </w:r>
      <w:r>
        <w:rPr>
          <w:rFonts w:ascii="楷体_GB2312" w:eastAsia="楷体_GB2312"/>
          <w:b/>
          <w:sz w:val="30"/>
          <w:szCs w:val="32"/>
          <w:u w:val="single"/>
        </w:rPr>
        <w:t xml:space="preserve">   </w:t>
      </w:r>
      <w:r>
        <w:rPr>
          <w:rFonts w:hint="eastAsia" w:ascii="楷体_GB2312" w:eastAsia="楷体_GB2312"/>
          <w:b/>
          <w:sz w:val="30"/>
          <w:szCs w:val="32"/>
          <w:u w:val="single"/>
        </w:rPr>
        <w:t xml:space="preserve">  </w:t>
      </w:r>
      <w:r>
        <w:rPr>
          <w:rFonts w:ascii="黑体" w:eastAsia="黑体"/>
          <w:b/>
          <w:sz w:val="30"/>
          <w:szCs w:val="32"/>
          <w:u w:val="single"/>
        </w:rPr>
        <w:t xml:space="preserve">  </w:t>
      </w:r>
      <w:r>
        <w:rPr>
          <w:rFonts w:ascii="黑体" w:eastAsia="黑体"/>
          <w:b/>
          <w:sz w:val="30"/>
          <w:szCs w:val="32"/>
        </w:rPr>
        <w:t xml:space="preserve">  </w:t>
      </w:r>
    </w:p>
    <w:p>
      <w:pPr>
        <w:spacing w:line="540" w:lineRule="exact"/>
        <w:rPr>
          <w:rFonts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乙    方：</w:t>
      </w:r>
      <w:r>
        <w:rPr>
          <w:rFonts w:ascii="黑体" w:eastAsia="黑体"/>
          <w:sz w:val="30"/>
          <w:szCs w:val="32"/>
          <w:u w:val="single"/>
        </w:rPr>
        <w:t xml:space="preserve">                           </w:t>
      </w:r>
      <w:r>
        <w:rPr>
          <w:rFonts w:ascii="黑体" w:eastAsia="黑体"/>
          <w:sz w:val="30"/>
          <w:szCs w:val="32"/>
        </w:rPr>
        <w:t xml:space="preserve"> </w:t>
      </w:r>
    </w:p>
    <w:p>
      <w:pPr>
        <w:spacing w:line="540" w:lineRule="exact"/>
        <w:rPr>
          <w:rFonts w:ascii="黑体" w:eastAsia="黑体"/>
          <w:sz w:val="30"/>
          <w:szCs w:val="32"/>
        </w:rPr>
      </w:pPr>
      <w:r>
        <w:rPr>
          <w:rFonts w:ascii="黑体" w:eastAsia="黑体"/>
          <w:sz w:val="30"/>
          <w:szCs w:val="32"/>
        </w:rPr>
        <w:t xml:space="preserve">               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根据相关法律法规政策，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个体诊所、机关企事业单位内部诊所（含大中专院校）按照服务对象，分别由市、县区经办机构签订；</w:t>
      </w:r>
      <w:r>
        <w:rPr>
          <w:rFonts w:hint="eastAsia" w:ascii="仿宋" w:hAnsi="仿宋" w:eastAsia="仿宋"/>
          <w:sz w:val="28"/>
          <w:szCs w:val="28"/>
        </w:rPr>
        <w:t>县区医保经办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/>
          <w:sz w:val="28"/>
          <w:szCs w:val="28"/>
        </w:rPr>
        <w:t>授权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委托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镇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en-US" w:eastAsia="zh-CN"/>
        </w:rPr>
        <w:t>办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>卫生院（社区卫生服务中心）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与辖区内纳入一体化管理的村级卫生室签订医疗保障协议，镇办卫生院（社区卫生服务中心）为甲方，村级卫生室为乙方。经</w:t>
      </w:r>
      <w:r>
        <w:rPr>
          <w:rFonts w:hint="eastAsia" w:ascii="仿宋" w:hAnsi="仿宋" w:eastAsia="仿宋"/>
          <w:sz w:val="28"/>
          <w:szCs w:val="28"/>
        </w:rPr>
        <w:t>甲乙双方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协商</w:t>
      </w:r>
      <w:r>
        <w:rPr>
          <w:rFonts w:hint="eastAsia" w:ascii="仿宋" w:hAnsi="仿宋" w:eastAsia="仿宋"/>
          <w:sz w:val="28"/>
          <w:szCs w:val="28"/>
        </w:rPr>
        <w:t>同意，就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普通门</w:t>
      </w:r>
      <w:r>
        <w:rPr>
          <w:rFonts w:hint="eastAsia" w:ascii="仿宋" w:hAnsi="仿宋" w:eastAsia="仿宋"/>
          <w:sz w:val="28"/>
          <w:szCs w:val="28"/>
        </w:rPr>
        <w:t>诊医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保</w:t>
      </w:r>
      <w:r>
        <w:rPr>
          <w:rFonts w:hint="eastAsia" w:ascii="仿宋" w:hAnsi="仿宋" w:eastAsia="仿宋"/>
          <w:sz w:val="28"/>
          <w:szCs w:val="28"/>
        </w:rPr>
        <w:t>服务有关事宜签订如下协议：</w:t>
      </w:r>
    </w:p>
    <w:p>
      <w:pPr>
        <w:numPr>
          <w:ilvl w:val="0"/>
          <w:numId w:val="2"/>
        </w:numPr>
        <w:spacing w:line="54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基本要求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506" w:firstLineChars="181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shd w:val="clear" w:color="auto" w:fill="FFFFFF"/>
        </w:rPr>
        <w:t xml:space="preserve">第一条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乙方应具备相关行政管理部门规定的执业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资格及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条件，有健全完善的医药服务管理制度，医疗服务项目属于基本医疗保险范围。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506" w:firstLineChars="181"/>
        <w:rPr>
          <w:rFonts w:ascii="仿宋" w:hAnsi="仿宋" w:eastAsia="仿宋"/>
          <w:b/>
          <w:bCs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Cs/>
          <w:sz w:val="28"/>
          <w:szCs w:val="28"/>
          <w:shd w:val="clear" w:color="auto" w:fill="FFFFFF"/>
        </w:rPr>
        <w:t xml:space="preserve">第二条 </w:t>
      </w:r>
      <w:r>
        <w:rPr>
          <w:rFonts w:hint="eastAsia" w:ascii="仿宋" w:hAnsi="仿宋" w:eastAsia="仿宋"/>
          <w:bCs/>
          <w:sz w:val="28"/>
          <w:szCs w:val="28"/>
        </w:rPr>
        <w:t>乙方应正</w:t>
      </w:r>
      <w:r>
        <w:rPr>
          <w:rFonts w:hint="eastAsia" w:ascii="仿宋" w:hAnsi="仿宋" w:eastAsia="仿宋"/>
          <w:sz w:val="28"/>
          <w:szCs w:val="28"/>
        </w:rPr>
        <w:t>常执业或经营满3个月以上；</w:t>
      </w:r>
      <w:r>
        <w:rPr>
          <w:rFonts w:hint="eastAsia" w:ascii="仿宋" w:hAnsi="仿宋" w:eastAsia="仿宋"/>
          <w:bCs/>
          <w:sz w:val="28"/>
          <w:szCs w:val="28"/>
        </w:rPr>
        <w:t>按照国家法律法规和省市政策规定及时参加社会保险，并足额缴纳社会保险费。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shd w:val="clear" w:color="auto" w:fill="FFFFFF"/>
        </w:rPr>
        <w:t>第三条</w:t>
      </w:r>
      <w:r>
        <w:rPr>
          <w:rFonts w:hint="eastAsia" w:ascii="仿宋" w:hAnsi="仿宋" w:eastAsia="仿宋"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乙方应具备同医保系统联网结算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的医疗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信息系统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按照甲方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技术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要求完成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接口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改造和贯标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</w:rPr>
        <w:t>按时准确录入并及时传送有关信息，保证信息的准确完善。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设立医保药品、诊疗项目、医疗服务设施、医用耗材、疾病病种等基础数据库，按规定使用国家统一的医保编码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自愿接受甲方和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各级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医保经办机构的实时监管。</w:t>
      </w:r>
    </w:p>
    <w:p>
      <w:pPr>
        <w:pStyle w:val="6"/>
        <w:shd w:val="clear" w:color="auto" w:fill="FFFFFF"/>
        <w:spacing w:before="0" w:beforeAutospacing="0" w:after="0" w:afterAutospacing="0" w:line="540" w:lineRule="exact"/>
        <w:ind w:firstLine="506" w:firstLineChars="181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shd w:val="clear" w:color="auto" w:fill="FFFFFF"/>
        </w:rPr>
        <w:t xml:space="preserve">第四条 </w:t>
      </w:r>
      <w:r>
        <w:rPr>
          <w:rFonts w:hint="eastAsia" w:ascii="仿宋" w:hAnsi="仿宋" w:eastAsia="仿宋" w:cs="仿宋_GB2312"/>
          <w:sz w:val="28"/>
          <w:szCs w:val="28"/>
        </w:rPr>
        <w:t>乙方必须建立健全财务管理制度，规范财务管理。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建立与医</w:t>
      </w:r>
      <w:r>
        <w:rPr>
          <w:rFonts w:hint="eastAsia" w:ascii="仿宋" w:hAnsi="仿宋" w:eastAsia="仿宋"/>
          <w:sz w:val="28"/>
          <w:szCs w:val="28"/>
        </w:rPr>
        <w:t>疗保险管理服务相适应的内部管理制度，配备必要的设备和一定的专(兼)职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管理人</w:t>
      </w:r>
      <w:r>
        <w:rPr>
          <w:rFonts w:hint="eastAsia" w:ascii="仿宋" w:hAnsi="仿宋" w:eastAsia="仿宋"/>
          <w:sz w:val="28"/>
          <w:szCs w:val="28"/>
        </w:rPr>
        <w:t>员。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Cs/>
          <w:color w:val="000000"/>
          <w:kern w:val="0"/>
          <w:sz w:val="28"/>
          <w:szCs w:val="28"/>
          <w:shd w:val="clear" w:color="auto" w:fill="FFFFFF"/>
        </w:rPr>
        <w:t>第五条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</w:rPr>
        <w:t xml:space="preserve"> 乙方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至少有1名取得医师执业证书、乡村医生执业证书或中医(专长)医师资格证书且第一注册地在该医疗机构的医师;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 w:cs="宋体"/>
          <w:sz w:val="28"/>
          <w:szCs w:val="28"/>
        </w:rPr>
        <w:t>条</w:t>
      </w:r>
      <w:r>
        <w:rPr>
          <w:rFonts w:hint="eastAsia" w:ascii="仿宋" w:hAnsi="仿宋" w:eastAsia="仿宋" w:cs="宋体"/>
          <w:sz w:val="28"/>
          <w:szCs w:val="28"/>
        </w:rPr>
        <w:t xml:space="preserve"> 乙方必须设置“基本医疗保险政策宣传栏”、“基本医疗保险投诉箱（及投诉电话）”、显要位置悬挂“基本药品服务价格表”将基本医疗保险的主要政策规定和就医流程图上墙向参保人员公布。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七</w:t>
      </w:r>
      <w:r>
        <w:rPr>
          <w:rFonts w:hint="eastAsia" w:ascii="楷体" w:hAnsi="楷体" w:eastAsia="楷体" w:cs="宋体"/>
          <w:sz w:val="28"/>
          <w:szCs w:val="28"/>
        </w:rPr>
        <w:t xml:space="preserve">条 </w:t>
      </w:r>
      <w:r>
        <w:rPr>
          <w:rFonts w:hint="eastAsia" w:ascii="仿宋" w:hAnsi="仿宋" w:eastAsia="仿宋" w:cs="宋体"/>
          <w:sz w:val="28"/>
          <w:szCs w:val="28"/>
        </w:rPr>
        <w:t>乙方必须使用全省统一的医疗门诊收费票据（机打发票）。持卡就医与现金支付就医其药品、检查、治疗等各种医疗服务价格必须一致。</w:t>
      </w:r>
    </w:p>
    <w:p>
      <w:pPr>
        <w:spacing w:line="540" w:lineRule="exact"/>
        <w:jc w:val="center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二、就医服务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八</w:t>
      </w:r>
      <w:r>
        <w:rPr>
          <w:rFonts w:hint="eastAsia" w:ascii="楷体" w:hAnsi="楷体" w:eastAsia="楷体" w:cs="宋体"/>
          <w:sz w:val="28"/>
          <w:szCs w:val="28"/>
        </w:rPr>
        <w:t xml:space="preserve">条 </w:t>
      </w:r>
      <w:r>
        <w:rPr>
          <w:rFonts w:hint="eastAsia" w:ascii="仿宋" w:hAnsi="仿宋" w:eastAsia="仿宋" w:cs="宋体"/>
          <w:sz w:val="28"/>
          <w:szCs w:val="28"/>
        </w:rPr>
        <w:t>乙方为本辖区范围内参保人员提供门诊医疗服务的范围包括：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普通</w:t>
      </w:r>
      <w:r>
        <w:rPr>
          <w:rFonts w:hint="eastAsia" w:ascii="仿宋" w:hAnsi="仿宋" w:eastAsia="仿宋" w:cs="宋体"/>
          <w:sz w:val="28"/>
          <w:szCs w:val="28"/>
        </w:rPr>
        <w:t>门诊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居民门诊</w:t>
      </w:r>
      <w:r>
        <w:rPr>
          <w:rFonts w:hint="eastAsia" w:ascii="仿宋" w:hAnsi="仿宋" w:eastAsia="仿宋" w:cs="宋体"/>
          <w:sz w:val="28"/>
          <w:szCs w:val="28"/>
        </w:rPr>
        <w:t>统筹、</w:t>
      </w:r>
      <w:r>
        <w:rPr>
          <w:rFonts w:hint="eastAsia" w:ascii="仿宋" w:hAnsi="仿宋" w:eastAsia="仿宋"/>
          <w:sz w:val="28"/>
          <w:szCs w:val="28"/>
        </w:rPr>
        <w:t>门诊慢特病、“两病”门诊服务。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宋体"/>
          <w:sz w:val="28"/>
          <w:szCs w:val="28"/>
        </w:rPr>
        <w:t xml:space="preserve">条 </w:t>
      </w:r>
      <w:r>
        <w:rPr>
          <w:rFonts w:hint="eastAsia" w:ascii="仿宋" w:hAnsi="仿宋" w:eastAsia="仿宋" w:cs="宋体"/>
          <w:sz w:val="28"/>
          <w:szCs w:val="28"/>
        </w:rPr>
        <w:t>在接待参保人员就医时，要审核参保人员</w:t>
      </w:r>
      <w:r>
        <w:rPr>
          <w:rFonts w:hint="eastAsia" w:ascii="仿宋" w:hAnsi="仿宋" w:eastAsia="仿宋" w:cs="宋体"/>
          <w:bCs/>
          <w:sz w:val="28"/>
          <w:szCs w:val="28"/>
        </w:rPr>
        <w:t>信息</w:t>
      </w:r>
      <w:r>
        <w:rPr>
          <w:rFonts w:hint="eastAsia" w:ascii="仿宋" w:hAnsi="仿宋" w:eastAsia="仿宋" w:cs="宋体"/>
          <w:sz w:val="28"/>
          <w:szCs w:val="28"/>
        </w:rPr>
        <w:t>，核实病人的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参保身份，</w:t>
      </w:r>
      <w:r>
        <w:rPr>
          <w:rFonts w:hint="eastAsia" w:ascii="仿宋" w:hAnsi="仿宋" w:eastAsia="仿宋" w:cs="宋体"/>
          <w:sz w:val="28"/>
          <w:szCs w:val="28"/>
        </w:rPr>
        <w:t>相符后方可按基本医疗保险程序提供相应医保服务。在服务中，应严格遵守国、省、市有关医保政策规定，对超出医保政策范围的医疗费用，医保基金不予支付。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第十条</w:t>
      </w:r>
      <w:r>
        <w:rPr>
          <w:rFonts w:hint="eastAsia" w:ascii="仿宋" w:hAnsi="仿宋" w:eastAsia="仿宋" w:cs="宋体"/>
          <w:sz w:val="28"/>
          <w:szCs w:val="28"/>
        </w:rPr>
        <w:t xml:space="preserve"> 参保人员到乙方就诊后，乙方应即时为参保人员结算。参保人员离开时，乙方应及时归还其证件（卡），不得擅自留存。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第十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一</w:t>
      </w:r>
      <w:r>
        <w:rPr>
          <w:rFonts w:hint="eastAsia" w:ascii="楷体" w:hAnsi="楷体" w:eastAsia="楷体" w:cs="宋体"/>
          <w:sz w:val="28"/>
          <w:szCs w:val="28"/>
        </w:rPr>
        <w:t>条</w:t>
      </w:r>
      <w:r>
        <w:rPr>
          <w:rFonts w:hint="eastAsia" w:ascii="仿宋" w:hAnsi="仿宋" w:eastAsia="仿宋" w:cs="宋体"/>
          <w:sz w:val="28"/>
          <w:szCs w:val="28"/>
        </w:rPr>
        <w:t xml:space="preserve"> 乙方应详细登记相关门诊信息；病历及处方书写规范、清晰、准确、完整，严禁出现大处方。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 </w:t>
      </w:r>
    </w:p>
    <w:p>
      <w:pPr>
        <w:spacing w:line="540" w:lineRule="exact"/>
        <w:jc w:val="center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三、费用结算</w:t>
      </w:r>
    </w:p>
    <w:p>
      <w:pPr>
        <w:spacing w:line="54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第十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宋体"/>
          <w:sz w:val="28"/>
          <w:szCs w:val="28"/>
        </w:rPr>
        <w:t>条</w:t>
      </w:r>
      <w:r>
        <w:rPr>
          <w:rFonts w:hint="eastAsia" w:ascii="仿宋" w:hAnsi="仿宋" w:eastAsia="仿宋" w:cs="宋体"/>
          <w:sz w:val="28"/>
          <w:szCs w:val="28"/>
        </w:rPr>
        <w:t xml:space="preserve"> 乙方每月10号前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通过系统完成对账并向甲方申请费用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甲方通过智能审核、病案审核等方式进行审核确认后，生成支付计划，推送财务线上支付。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第十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宋体"/>
          <w:sz w:val="28"/>
          <w:szCs w:val="28"/>
        </w:rPr>
        <w:t>条</w:t>
      </w:r>
      <w:r>
        <w:rPr>
          <w:rFonts w:hint="eastAsia" w:ascii="仿宋" w:hAnsi="仿宋" w:eastAsia="仿宋" w:cs="宋体"/>
          <w:sz w:val="28"/>
          <w:szCs w:val="28"/>
        </w:rPr>
        <w:t xml:space="preserve"> 经办机构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按照</w:t>
      </w:r>
      <w:r>
        <w:rPr>
          <w:rFonts w:hint="eastAsia" w:ascii="仿宋" w:hAnsi="仿宋" w:eastAsia="仿宋" w:cs="宋体"/>
          <w:sz w:val="28"/>
          <w:szCs w:val="28"/>
        </w:rPr>
        <w:t>月结金额的5%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扣</w:t>
      </w:r>
      <w:r>
        <w:rPr>
          <w:rFonts w:hint="eastAsia" w:ascii="仿宋" w:hAnsi="仿宋" w:eastAsia="仿宋" w:cs="宋体"/>
          <w:sz w:val="28"/>
          <w:szCs w:val="28"/>
        </w:rPr>
        <w:t>作为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质量</w:t>
      </w:r>
      <w:r>
        <w:rPr>
          <w:rFonts w:hint="eastAsia" w:ascii="仿宋" w:hAnsi="仿宋" w:eastAsia="仿宋" w:cs="宋体"/>
          <w:sz w:val="28"/>
          <w:szCs w:val="28"/>
        </w:rPr>
        <w:t>保证金，待年度考核后按规定返还。</w:t>
      </w:r>
    </w:p>
    <w:p>
      <w:pPr>
        <w:pStyle w:val="14"/>
        <w:spacing w:line="540" w:lineRule="exact"/>
        <w:ind w:left="0" w:firstLine="599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根据年度考核结果</w:t>
      </w:r>
      <w:r>
        <w:rPr>
          <w:rFonts w:hint="eastAsia" w:ascii="仿宋" w:hAnsi="仿宋" w:eastAsia="仿宋"/>
          <w:kern w:val="2"/>
          <w:sz w:val="28"/>
          <w:szCs w:val="28"/>
        </w:rPr>
        <w:t>，考核综合得分</w:t>
      </w:r>
      <w:r>
        <w:rPr>
          <w:rFonts w:ascii="仿宋" w:hAnsi="仿宋" w:eastAsia="仿宋"/>
          <w:kern w:val="2"/>
          <w:sz w:val="28"/>
          <w:szCs w:val="28"/>
        </w:rPr>
        <w:t>≥</w:t>
      </w:r>
      <w:r>
        <w:rPr>
          <w:rFonts w:hint="eastAsia" w:ascii="仿宋" w:hAnsi="仿宋" w:eastAsia="仿宋"/>
          <w:kern w:val="2"/>
          <w:sz w:val="28"/>
          <w:szCs w:val="28"/>
        </w:rPr>
        <w:t>90分返还全部质量保证金；80分以上不足90分的返还质量保证金的80%；70以上不足80分的返还质量保证金的50%；&lt;70分的扣除全部质量保证金，并将考核结果与下年度协议签订情况挂钩。</w:t>
      </w:r>
    </w:p>
    <w:p>
      <w:pPr>
        <w:spacing w:line="540" w:lineRule="exact"/>
        <w:jc w:val="center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五、违约责任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宋体"/>
          <w:sz w:val="28"/>
          <w:szCs w:val="28"/>
        </w:rPr>
        <w:t>第十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四</w:t>
      </w:r>
      <w:r>
        <w:rPr>
          <w:rFonts w:hint="eastAsia" w:ascii="楷体" w:hAnsi="楷体" w:eastAsia="楷体" w:cs="宋体"/>
          <w:sz w:val="28"/>
          <w:szCs w:val="28"/>
        </w:rPr>
        <w:t xml:space="preserve">条 </w:t>
      </w:r>
      <w:r>
        <w:rPr>
          <w:rFonts w:hint="eastAsia" w:ascii="仿宋" w:hAnsi="仿宋" w:eastAsia="仿宋"/>
          <w:sz w:val="28"/>
          <w:szCs w:val="28"/>
        </w:rPr>
        <w:t>甲方违反服务协议的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乙方可要求甲方纠正，或提请医保行政部门协调处理，</w:t>
      </w:r>
      <w:r>
        <w:rPr>
          <w:rFonts w:hint="eastAsia" w:ascii="仿宋" w:hAnsi="仿宋" w:eastAsia="仿宋"/>
          <w:color w:val="auto"/>
          <w:sz w:val="28"/>
          <w:szCs w:val="28"/>
        </w:rPr>
        <w:t>也可以依法申请行政复议或提起行政诉讼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0"/>
        <w:numPr>
          <w:ilvl w:val="0"/>
          <w:numId w:val="0"/>
        </w:numPr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宋体"/>
          <w:bCs/>
          <w:sz w:val="28"/>
          <w:szCs w:val="28"/>
          <w:shd w:val="clear" w:color="auto" w:fill="FFFFFF"/>
        </w:rPr>
        <w:t>第十</w:t>
      </w:r>
      <w:r>
        <w:rPr>
          <w:rFonts w:hint="eastAsia" w:ascii="楷体" w:hAnsi="楷体" w:eastAsia="楷体" w:cs="宋体"/>
          <w:bCs/>
          <w:sz w:val="28"/>
          <w:szCs w:val="28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宋体"/>
          <w:bCs/>
          <w:sz w:val="28"/>
          <w:szCs w:val="28"/>
          <w:shd w:val="clear" w:color="auto" w:fill="FFFFFF"/>
        </w:rPr>
        <w:t xml:space="preserve">条 </w:t>
      </w:r>
      <w:r>
        <w:rPr>
          <w:rFonts w:hint="eastAsia" w:ascii="仿宋" w:hAnsi="仿宋" w:eastAsia="仿宋"/>
          <w:sz w:val="28"/>
          <w:szCs w:val="28"/>
        </w:rPr>
        <w:t>乙方违反服务协议的，甲方可以督促其履行服务协议，按照服务协议约定采取约谈</w:t>
      </w:r>
      <w:r>
        <w:rPr>
          <w:rFonts w:hint="eastAsia" w:ascii="仿宋" w:hAnsi="仿宋" w:eastAsia="仿宋"/>
          <w:color w:val="auto"/>
          <w:sz w:val="28"/>
          <w:szCs w:val="28"/>
        </w:rPr>
        <w:t>法定代表人、</w:t>
      </w:r>
      <w:r>
        <w:rPr>
          <w:rFonts w:hint="eastAsia" w:ascii="仿宋" w:hAnsi="仿宋" w:eastAsia="仿宋"/>
          <w:sz w:val="28"/>
          <w:szCs w:val="28"/>
        </w:rPr>
        <w:t>主要负责人或实际控制人;暂停结算或不予拨付费用;不予支付或追回已支付的医保费用;中止相关责任人员或者所在部门涉及医疗保障基金使用的医药服务;中止或解除医保协议。乙方及其相关责任人员有权进行陈述、申辩。涉及严重情形的，甲方可以提请医疗保障行政部门责令改正、约谈有关负责人、处以罚款、暂停定点、解除服务协议、吊销执业资格等。</w:t>
      </w:r>
    </w:p>
    <w:p>
      <w:pPr>
        <w:pStyle w:val="10"/>
        <w:numPr>
          <w:ilvl w:val="0"/>
          <w:numId w:val="0"/>
        </w:numPr>
        <w:adjustRightInd/>
        <w:snapToGrid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具体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违规事项及</w:t>
      </w:r>
      <w:r>
        <w:rPr>
          <w:rFonts w:hint="eastAsia" w:ascii="仿宋" w:hAnsi="仿宋" w:eastAsia="仿宋"/>
          <w:sz w:val="28"/>
          <w:szCs w:val="28"/>
        </w:rPr>
        <w:t>处理方式按照《医疗保障基金使用监督管理条例》规定做相应处理。</w:t>
      </w:r>
    </w:p>
    <w:p>
      <w:pPr>
        <w:tabs>
          <w:tab w:val="left" w:pos="0"/>
          <w:tab w:val="left" w:pos="1260"/>
        </w:tabs>
        <w:spacing w:line="540" w:lineRule="exact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六、附则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第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  <w:lang w:val="en-US" w:eastAsia="zh-CN"/>
        </w:rPr>
        <w:t>十六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 xml:space="preserve">条 </w:t>
      </w:r>
      <w:r>
        <w:rPr>
          <w:rFonts w:hint="eastAsia" w:ascii="仿宋" w:hAnsi="仿宋" w:eastAsia="仿宋"/>
          <w:sz w:val="28"/>
          <w:szCs w:val="28"/>
        </w:rPr>
        <w:t>协议执行期间，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/>
          <w:sz w:val="28"/>
          <w:szCs w:val="28"/>
        </w:rPr>
        <w:t>法律、法规和政策有调整的，应按新的规定执行。甲乙双方也可对本协议进行相应修改和补充，其效力与本协议同等。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十七</w:t>
      </w:r>
      <w:r>
        <w:rPr>
          <w:rFonts w:hint="eastAsia" w:ascii="楷体" w:hAnsi="楷体" w:eastAsia="楷体"/>
          <w:sz w:val="28"/>
          <w:szCs w:val="28"/>
        </w:rPr>
        <w:t xml:space="preserve">条 </w:t>
      </w:r>
      <w:r>
        <w:rPr>
          <w:rFonts w:hint="eastAsia" w:ascii="仿宋" w:hAnsi="仿宋" w:eastAsia="仿宋"/>
          <w:sz w:val="28"/>
          <w:szCs w:val="28"/>
        </w:rPr>
        <w:t>本协议未尽事宜，按照国家、省、市相关法律法规和政策规定执行。</w:t>
      </w:r>
    </w:p>
    <w:p>
      <w:pPr>
        <w:spacing w:line="54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十八</w:t>
      </w:r>
      <w:r>
        <w:rPr>
          <w:rFonts w:hint="eastAsia" w:ascii="楷体" w:hAnsi="楷体" w:eastAsia="楷体"/>
          <w:sz w:val="28"/>
          <w:szCs w:val="28"/>
        </w:rPr>
        <w:t xml:space="preserve">条 </w:t>
      </w:r>
      <w:r>
        <w:rPr>
          <w:rFonts w:hint="eastAsia" w:ascii="仿宋" w:hAnsi="仿宋" w:eastAsia="仿宋"/>
          <w:sz w:val="28"/>
          <w:szCs w:val="28"/>
        </w:rPr>
        <w:t>本协议有效期</w:t>
      </w:r>
      <w:r>
        <w:rPr>
          <w:rFonts w:hint="eastAsia" w:ascii="仿宋" w:hAnsi="仿宋" w:eastAsia="仿宋"/>
          <w:kern w:val="0"/>
          <w:sz w:val="28"/>
          <w:szCs w:val="28"/>
        </w:rPr>
        <w:t>自202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28"/>
          <w:szCs w:val="28"/>
        </w:rPr>
        <w:t>年1月1日起至202</w:t>
      </w:r>
      <w:r>
        <w:rPr>
          <w:rFonts w:hint="eastAsia" w:ascii="仿宋" w:hAnsi="仿宋" w:eastAsia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kern w:val="0"/>
          <w:sz w:val="28"/>
          <w:szCs w:val="28"/>
        </w:rPr>
        <w:t>年12月31日止，协议期限 1 年。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十九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</w:rPr>
        <w:t xml:space="preserve"> 本协议一式二份，甲乙双方签字盖章后生效，各执一份。</w:t>
      </w: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甲方（盖章）：                 乙方（盖章）：</w:t>
      </w: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甲方法定代表人：              乙方法定代表人：</w:t>
      </w:r>
    </w:p>
    <w:p>
      <w:pPr>
        <w:tabs>
          <w:tab w:val="left" w:pos="0"/>
        </w:tabs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年  月  日                 年  月  日</w:t>
      </w:r>
    </w:p>
    <w:p>
      <w:pPr>
        <w:spacing w:line="540" w:lineRule="exac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52393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E34BB"/>
    <w:multiLevelType w:val="multilevel"/>
    <w:tmpl w:val="1BEE34BB"/>
    <w:lvl w:ilvl="0" w:tentative="0">
      <w:start w:val="1"/>
      <w:numFmt w:val="japaneseCounting"/>
      <w:lvlText w:val="%1、"/>
      <w:lvlJc w:val="left"/>
      <w:pPr>
        <w:ind w:left="3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050" w:hanging="420"/>
      </w:pPr>
    </w:lvl>
    <w:lvl w:ilvl="2" w:tentative="0">
      <w:start w:val="1"/>
      <w:numFmt w:val="lowerRoman"/>
      <w:lvlText w:val="%3."/>
      <w:lvlJc w:val="right"/>
      <w:pPr>
        <w:ind w:left="4470" w:hanging="420"/>
      </w:pPr>
    </w:lvl>
    <w:lvl w:ilvl="3" w:tentative="0">
      <w:start w:val="1"/>
      <w:numFmt w:val="decimal"/>
      <w:lvlText w:val="%4."/>
      <w:lvlJc w:val="left"/>
      <w:pPr>
        <w:ind w:left="4890" w:hanging="420"/>
      </w:pPr>
    </w:lvl>
    <w:lvl w:ilvl="4" w:tentative="0">
      <w:start w:val="1"/>
      <w:numFmt w:val="lowerLetter"/>
      <w:lvlText w:val="%5)"/>
      <w:lvlJc w:val="left"/>
      <w:pPr>
        <w:ind w:left="5310" w:hanging="420"/>
      </w:pPr>
    </w:lvl>
    <w:lvl w:ilvl="5" w:tentative="0">
      <w:start w:val="1"/>
      <w:numFmt w:val="lowerRoman"/>
      <w:lvlText w:val="%6."/>
      <w:lvlJc w:val="right"/>
      <w:pPr>
        <w:ind w:left="5730" w:hanging="420"/>
      </w:pPr>
    </w:lvl>
    <w:lvl w:ilvl="6" w:tentative="0">
      <w:start w:val="1"/>
      <w:numFmt w:val="decimal"/>
      <w:lvlText w:val="%7."/>
      <w:lvlJc w:val="left"/>
      <w:pPr>
        <w:ind w:left="6150" w:hanging="420"/>
      </w:pPr>
    </w:lvl>
    <w:lvl w:ilvl="7" w:tentative="0">
      <w:start w:val="1"/>
      <w:numFmt w:val="lowerLetter"/>
      <w:lvlText w:val="%8)"/>
      <w:lvlJc w:val="left"/>
      <w:pPr>
        <w:ind w:left="6570" w:hanging="420"/>
      </w:pPr>
    </w:lvl>
    <w:lvl w:ilvl="8" w:tentative="0">
      <w:start w:val="1"/>
      <w:numFmt w:val="lowerRoman"/>
      <w:lvlText w:val="%9."/>
      <w:lvlJc w:val="right"/>
      <w:pPr>
        <w:ind w:left="6990" w:hanging="420"/>
      </w:pPr>
    </w:lvl>
  </w:abstractNum>
  <w:abstractNum w:abstractNumId="1">
    <w:nsid w:val="224C6C30"/>
    <w:multiLevelType w:val="multilevel"/>
    <w:tmpl w:val="224C6C30"/>
    <w:lvl w:ilvl="0" w:tentative="0">
      <w:start w:val="1"/>
      <w:numFmt w:val="chineseCountingThousand"/>
      <w:pStyle w:val="10"/>
      <w:lvlText w:val="第%1条 "/>
      <w:lvlJc w:val="left"/>
      <w:pPr>
        <w:tabs>
          <w:tab w:val="left" w:pos="1413"/>
        </w:tabs>
        <w:ind w:left="1413" w:hanging="420"/>
      </w:pPr>
      <w:rPr>
        <w:rFonts w:hint="eastAsia" w:ascii="仿宋_GB2312" w:eastAsia="仿宋_GB2312" w:cs="Times New Roman"/>
        <w:b/>
        <w:color w:val="000000"/>
        <w:sz w:val="32"/>
        <w:szCs w:val="32"/>
      </w:rPr>
    </w:lvl>
    <w:lvl w:ilvl="1" w:tentative="0">
      <w:start w:val="1"/>
      <w:numFmt w:val="lowerLetter"/>
      <w:lvlText w:val="%2)"/>
      <w:lvlJc w:val="left"/>
      <w:pPr>
        <w:tabs>
          <w:tab w:val="left" w:pos="556"/>
        </w:tabs>
        <w:ind w:left="55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976"/>
        </w:tabs>
        <w:ind w:left="97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396"/>
        </w:tabs>
        <w:ind w:left="139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816"/>
        </w:tabs>
        <w:ind w:left="181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236"/>
        </w:tabs>
        <w:ind w:left="223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656"/>
        </w:tabs>
        <w:ind w:left="265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076"/>
        </w:tabs>
        <w:ind w:left="307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496"/>
        </w:tabs>
        <w:ind w:left="349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0Y2ZkMjZkZjM5ZDE4YTQ0NDc3NDI1MDczNjkxN2IifQ=="/>
  </w:docVars>
  <w:rsids>
    <w:rsidRoot w:val="002B798E"/>
    <w:rsid w:val="00133796"/>
    <w:rsid w:val="0016723E"/>
    <w:rsid w:val="001E1066"/>
    <w:rsid w:val="001E44BB"/>
    <w:rsid w:val="00222244"/>
    <w:rsid w:val="002B798E"/>
    <w:rsid w:val="003C24B3"/>
    <w:rsid w:val="003D53F7"/>
    <w:rsid w:val="00434643"/>
    <w:rsid w:val="00520BAC"/>
    <w:rsid w:val="005E6A75"/>
    <w:rsid w:val="00605527"/>
    <w:rsid w:val="0067586E"/>
    <w:rsid w:val="006F497C"/>
    <w:rsid w:val="006F6E02"/>
    <w:rsid w:val="007564DC"/>
    <w:rsid w:val="007F0E6A"/>
    <w:rsid w:val="00852D3A"/>
    <w:rsid w:val="00863333"/>
    <w:rsid w:val="008756D9"/>
    <w:rsid w:val="008C17B1"/>
    <w:rsid w:val="008F11F4"/>
    <w:rsid w:val="00914273"/>
    <w:rsid w:val="009F6BFC"/>
    <w:rsid w:val="00AB37BE"/>
    <w:rsid w:val="00B25271"/>
    <w:rsid w:val="00B71914"/>
    <w:rsid w:val="00BE6E49"/>
    <w:rsid w:val="00C9643B"/>
    <w:rsid w:val="00D324B1"/>
    <w:rsid w:val="00DC08DC"/>
    <w:rsid w:val="00DD4DDD"/>
    <w:rsid w:val="00E32F70"/>
    <w:rsid w:val="00EC52C0"/>
    <w:rsid w:val="00F01D51"/>
    <w:rsid w:val="050F6F69"/>
    <w:rsid w:val="25EA7504"/>
    <w:rsid w:val="451A0BA7"/>
    <w:rsid w:val="519D04F0"/>
    <w:rsid w:val="64D64C53"/>
    <w:rsid w:val="688B7AC0"/>
    <w:rsid w:val="7835422F"/>
    <w:rsid w:val="791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link w:val="13"/>
    <w:unhideWhenUsed/>
    <w:qFormat/>
    <w:uiPriority w:val="99"/>
    <w:pPr>
      <w:spacing w:line="240" w:lineRule="atLeast"/>
      <w:ind w:firstLine="510"/>
    </w:pPr>
    <w:rPr>
      <w:rFonts w:cs="宋体" w:asciiTheme="minorHAnsi" w:hAnsiTheme="minorHAnsi" w:eastAsiaTheme="minorEastAsia"/>
      <w:szCs w:val="21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9">
    <w:name w:val="正文格式"/>
    <w:basedOn w:val="1"/>
    <w:link w:val="11"/>
    <w:qFormat/>
    <w:uiPriority w:val="99"/>
    <w:pPr>
      <w:adjustRightInd w:val="0"/>
      <w:snapToGrid w:val="0"/>
      <w:spacing w:line="560" w:lineRule="exact"/>
      <w:ind w:firstLine="600" w:firstLineChars="200"/>
    </w:pPr>
    <w:rPr>
      <w:rFonts w:eastAsia="仿宋_GB2312"/>
      <w:kern w:val="0"/>
      <w:sz w:val="30"/>
      <w:szCs w:val="20"/>
    </w:rPr>
  </w:style>
  <w:style w:type="paragraph" w:customStyle="1" w:styleId="10">
    <w:name w:val="正文条款"/>
    <w:basedOn w:val="1"/>
    <w:qFormat/>
    <w:uiPriority w:val="99"/>
    <w:pPr>
      <w:numPr>
        <w:ilvl w:val="0"/>
        <w:numId w:val="1"/>
      </w:numPr>
      <w:tabs>
        <w:tab w:val="left" w:pos="1838"/>
      </w:tabs>
      <w:adjustRightInd w:val="0"/>
      <w:snapToGrid w:val="0"/>
      <w:spacing w:line="550" w:lineRule="exact"/>
    </w:pPr>
    <w:rPr>
      <w:rFonts w:ascii="仿宋_GB2312" w:hAnsi="Times New Roman" w:eastAsia="仿宋_GB2312"/>
      <w:color w:val="000000"/>
      <w:sz w:val="30"/>
      <w:szCs w:val="32"/>
    </w:rPr>
  </w:style>
  <w:style w:type="character" w:customStyle="1" w:styleId="11">
    <w:name w:val="正文格式 Char"/>
    <w:link w:val="9"/>
    <w:qFormat/>
    <w:locked/>
    <w:uiPriority w:val="99"/>
    <w:rPr>
      <w:rFonts w:ascii="Calibri" w:hAnsi="Calibri" w:eastAsia="仿宋_GB2312" w:cs="Times New Roman"/>
      <w:kern w:val="0"/>
      <w:sz w:val="30"/>
      <w:szCs w:val="20"/>
    </w:rPr>
  </w:style>
  <w:style w:type="character" w:customStyle="1" w:styleId="12">
    <w:name w:val="正文文本缩进 Char"/>
    <w:basedOn w:val="8"/>
    <w:qFormat/>
    <w:locked/>
    <w:uiPriority w:val="99"/>
    <w:rPr>
      <w:rFonts w:cs="宋体"/>
      <w:szCs w:val="21"/>
    </w:rPr>
  </w:style>
  <w:style w:type="character" w:customStyle="1" w:styleId="13">
    <w:name w:val="正文文本缩进 Char1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4">
    <w:name w:val="p0"/>
    <w:basedOn w:val="1"/>
    <w:qFormat/>
    <w:uiPriority w:val="0"/>
    <w:pPr>
      <w:widowControl/>
      <w:spacing w:line="365" w:lineRule="atLeast"/>
      <w:ind w:left="1"/>
    </w:pPr>
    <w:rPr>
      <w:rFonts w:ascii="Times New Roman" w:hAnsi="Times New Roman"/>
      <w:kern w:val="0"/>
      <w:sz w:val="20"/>
      <w:szCs w:val="20"/>
    </w:rPr>
  </w:style>
  <w:style w:type="character" w:customStyle="1" w:styleId="15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1724</Words>
  <Characters>1743</Characters>
  <Lines>19</Lines>
  <Paragraphs>5</Paragraphs>
  <TotalTime>49</TotalTime>
  <ScaleCrop>false</ScaleCrop>
  <LinksUpToDate>false</LinksUpToDate>
  <CharactersWithSpaces>1909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2020-03-22T09:42:00Z</dcterms:created>
  <dc:creator>Administrator</dc:creator>
  <cp:lastModifiedBy>Administrator</cp:lastModifiedBy>
  <dcterms:modified xsi:type="dcterms:W3CDTF">2023-01-04T06:37:53Z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AC8524DF01D640B6AFD7A935208D9D1D</vt:lpwstr>
  </property>
</Properties>
</file>