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610" w:lineRule="exact"/>
        <w:ind w:firstLine="880"/>
        <w:textAlignment w:val="auto"/>
        <w:rPr>
          <w:rFonts w:ascii="方正小标宋简体" w:hAnsi="方正小标宋简体" w:eastAsia="方正小标宋简体" w:cs="方正小标宋简体"/>
          <w:sz w:val="44"/>
          <w:szCs w:val="44"/>
        </w:rPr>
      </w:pPr>
    </w:p>
    <w:p>
      <w:pPr>
        <w:pStyle w:val="2"/>
        <w:keepNext w:val="0"/>
        <w:keepLines w:val="0"/>
        <w:pageBreakBefore w:val="0"/>
        <w:widowControl w:val="0"/>
        <w:kinsoku/>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商医保发〔2022〕</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号</w:t>
      </w:r>
    </w:p>
    <w:p>
      <w:pPr>
        <w:pStyle w:val="2"/>
        <w:keepNext w:val="0"/>
        <w:keepLines w:val="0"/>
        <w:pageBreakBefore w:val="0"/>
        <w:widowControl w:val="0"/>
        <w:kinsoku/>
        <w:overflowPunct/>
        <w:topLinePunct w:val="0"/>
        <w:autoSpaceDE/>
        <w:autoSpaceDN/>
        <w:bidi w:val="0"/>
        <w:spacing w:line="560" w:lineRule="exact"/>
        <w:ind w:firstLine="0" w:firstLineChars="0"/>
        <w:jc w:val="center"/>
        <w:textAlignment w:val="auto"/>
        <w:rPr>
          <w:rFonts w:ascii="仿宋" w:hAnsi="仿宋" w:eastAsia="仿宋" w:cs="仿宋"/>
          <w:sz w:val="32"/>
          <w:szCs w:val="32"/>
        </w:rPr>
      </w:pPr>
    </w:p>
    <w:p>
      <w:pPr>
        <w:keepNext w:val="0"/>
        <w:keepLines w:val="0"/>
        <w:pageBreakBefore w:val="0"/>
        <w:widowControl w:val="0"/>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商洛市医疗保障局</w:t>
      </w:r>
    </w:p>
    <w:p>
      <w:pPr>
        <w:keepNext w:val="0"/>
        <w:keepLines w:val="0"/>
        <w:pageBreakBefore w:val="0"/>
        <w:widowControl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关于规范基本医疗保险门诊慢特病</w:t>
      </w:r>
    </w:p>
    <w:p>
      <w:pPr>
        <w:keepNext w:val="0"/>
        <w:keepLines w:val="0"/>
        <w:pageBreakBefore w:val="0"/>
        <w:widowControl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政策标准的通知</w:t>
      </w:r>
    </w:p>
    <w:p>
      <w:pPr>
        <w:pStyle w:val="2"/>
        <w:keepNext w:val="0"/>
        <w:keepLines w:val="0"/>
        <w:pageBreakBefore w:val="0"/>
        <w:widowControl w:val="0"/>
        <w:kinsoku/>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各县(区)医疗保障局、市医疗保险经办处、各定点医疗机构、各参保单位: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市基本医疗保险门诊慢特病管理工作,根据《陕西省基本医疗保险门诊慢特病规范管理办法（试行）》（陕医保发〔2022〕18号）、《关于印发全省基本医疗保险门诊慢特病相关政策标准的通知》（陕医保发〔2022〕30号）和《关于统一全省基本医疗保险门诊慢特病管理的实施方案》（陕医保函〔2022〕202号）要求，经市局党组会研究决定，适当增加门诊慢特病保障范围、切实规范日常管理工作。现将有关事项通知如下:</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一、保障对象</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参加商洛市职工基本医疗保险和城乡居民基本医疗保险的参保人员。</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二、保障病种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门诊慢特病Ⅰ类共51种，保障范围内疾病、症状或治疗手段，统一执行《陕西省基本医疗保险门诊慢特病病种鉴定标准（暂行）》（附件1）。结合医保基金运行状况，合理确定《商洛市门诊慢特病（Ⅰ类）待遇标准》（附件2）。</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（二）门诊慢特病Ⅱ类共4种（附件3），不再新纳入保障对象，已纳入人员继续按原有规定享受待遇，原保障待遇执行至当期待遇终止日期。</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三、支付范围</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慢特病支付范围包括与疾病相关的符合基本医疗保险用药目录、诊疗项目范围、医疗服务设施范围和支付标准内的检查、检验、药品、治疗、特殊材料等医疗费用。与疾病无关或上述目录外的检查、检验、药品、治疗、特殊材料等费用不予支付。门诊慢特病支付范围不设置病种用药，凡与疾病（含并发症、合并症）相关的治疗或辅助治疗的药品均可支付，用药范围按照《基本医疗保险、工伤保险和生育保险药品目录》分类执行，乙类特殊药品保障按相关政策执行。</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门诊慢特病普通乙类支付</w:t>
      </w:r>
      <w:r>
        <w:rPr>
          <w:rFonts w:hint="eastAsia" w:ascii="仿宋_GB2312" w:hAnsi="仿宋_GB2312" w:eastAsia="仿宋_GB2312" w:cs="仿宋_GB2312"/>
          <w:spacing w:val="-6"/>
          <w:sz w:val="32"/>
          <w:szCs w:val="32"/>
        </w:rPr>
        <w:t>项目，统一按5%先行自付后纳入按比例报销；乙类特殊药品管理和支付仍按我市现行规定:不计起付标准，个人先行支付20%后，剩余部分纳入按比例报销。</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四、待遇享受</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门诊慢特病待遇支付实行年度参保、年度享受，以自然年度为待遇周期。初次申报门诊慢特病资格通过后，从医保经办机构认定通过的次月起开始享受待遇，本年度内门诊慢特病的最高支付限额按本年度剩余月份的医保统筹基金支付限额</w:t>
      </w:r>
      <w:r>
        <w:rPr>
          <w:rFonts w:hint="eastAsia" w:ascii="仿宋_GB2312" w:hAnsi="仿宋_GB2312" w:eastAsia="仿宋_GB2312" w:cs="仿宋_GB2312"/>
          <w:color w:val="000000"/>
          <w:kern w:val="0"/>
          <w:sz w:val="32"/>
          <w:szCs w:val="32"/>
        </w:rPr>
        <w:t>取整后确定</w:t>
      </w:r>
      <w:r>
        <w:rPr>
          <w:rFonts w:hint="eastAsia" w:ascii="仿宋_GB2312" w:hAnsi="仿宋_GB2312" w:eastAsia="仿宋_GB2312" w:cs="仿宋_GB2312"/>
          <w:sz w:val="32"/>
          <w:szCs w:val="32"/>
        </w:rPr>
        <w:t>(年度限额÷</w:t>
      </w:r>
      <w:r>
        <w:rPr>
          <w:rFonts w:hint="eastAsia" w:ascii="仿宋_GB2312" w:hAnsi="仿宋_GB2312" w:eastAsia="仿宋_GB2312" w:cs="仿宋_GB2312"/>
          <w:spacing w:val="-6"/>
          <w:kern w:val="2"/>
          <w:sz w:val="32"/>
          <w:szCs w:val="32"/>
          <w:lang w:val="en-US" w:eastAsia="zh-CN" w:bidi="ar-SA"/>
        </w:rPr>
        <w:t>12×本年剩余月份数)。基金年度支付限额纳入基本医疗保险统筹基金年度最高支付限额内管理。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保关系转移接续时，已在省内外市通过门诊慢特病Ⅰ类病种鉴定的，不再重新鉴定。按照我市同病种待遇标准按月计算年度内剩余月份待遇限额。从我市转往外市的，按年度限额分解到月计算其待遇额度，结算后终止其待遇。</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保患者罹患多种门诊慢特病保障范围疾病时，允许同时申报两种或两种以上门诊慢特病，只计一次起付标准，年度最高支付限额可按照一定比例增加，原则按照第一病种年度最高支付限额累加第二病种年度最高支付限额的1/2和第三病种年度最高支付限额的1/4，最多可申请三种。申请新增病种时，年度内最多申请一次，可按照申报病种支付限额从高到低排序确定多病种最高支付限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（四）终末期透析患者相关认定标准、支付范围、费用限额及支付办法，统一按本通知要求执行；相关限量规定仍按我局《关于调整终末期肾脏病透析医保按病种结算政策的通知》(商医保发〔2022〕9号)执行。</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城镇职工符合门诊慢特病规定发生的医疗费用，执行门诊慢特病支付政策超过对应病种年度限额的政策范围内费用，可按职工医保门诊共济政策支付；患重特大疾病发生高额医疗费用，符合医疗救助条件的，可依申请纳入医疗救助；在门诊产生的其他费用按职工医保门诊共济政策直接支付；职工医保门诊共济政策范围内医疗费用剩余部分，可使用个人账户结算。城乡居民医保门诊慢特病医疗费用经慢特病政策支付后，个人负担的政策范围内医疗费用纳入大病保险、医疗救助保障范围。</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医疗保障局负责我市门诊慢特病制度整合与建设工作；市医保经办处负责落实门诊慢特病鉴定流程设计、病种认定、待遇支付、费用结算、数据统计分析、政策调整建议和基金管理，并负责与门诊慢特病经办工作的第三方商业保险公司共同做好相关政策的宣传工作，确保政策落地落实、平稳运行。</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月1日起执行。此前相关规定与本通知不一致的，按本通知执行。本通知由市医疗保障局负责解释。</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6"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附件：1、《陕西省基本医疗保险门诊慢特病病种鉴定标准（暂行）》；</w:t>
      </w:r>
    </w:p>
    <w:p>
      <w:pPr>
        <w:pStyle w:val="2"/>
        <w:keepNext w:val="0"/>
        <w:keepLines w:val="0"/>
        <w:pageBreakBefore w:val="0"/>
        <w:widowControl w:val="0"/>
        <w:kinsoku/>
        <w:wordWrap/>
        <w:overflowPunct/>
        <w:topLinePunct w:val="0"/>
        <w:autoSpaceDE/>
        <w:autoSpaceDN/>
        <w:bidi w:val="0"/>
        <w:adjustRightInd/>
        <w:snapToGrid/>
        <w:spacing w:line="60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2、《商洛市门诊慢特病（Ⅰ类）待遇标准》；</w:t>
      </w:r>
    </w:p>
    <w:p>
      <w:pPr>
        <w:pStyle w:val="2"/>
        <w:keepNext w:val="0"/>
        <w:keepLines w:val="0"/>
        <w:pageBreakBefore w:val="0"/>
        <w:widowControl w:val="0"/>
        <w:kinsoku/>
        <w:wordWrap/>
        <w:overflowPunct/>
        <w:topLinePunct w:val="0"/>
        <w:autoSpaceDE/>
        <w:autoSpaceDN/>
        <w:bidi w:val="0"/>
        <w:adjustRightInd/>
        <w:snapToGrid/>
        <w:spacing w:line="60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3、《商洛市门诊慢特病（Ⅱ类）待遇标准》。</w:t>
      </w:r>
    </w:p>
    <w:p>
      <w:pPr>
        <w:pStyle w:val="2"/>
        <w:keepNext w:val="0"/>
        <w:keepLines w:val="0"/>
        <w:pageBreakBefore w:val="0"/>
        <w:widowControl w:val="0"/>
        <w:kinsoku/>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商洛市医疗保障局</w:t>
      </w:r>
    </w:p>
    <w:p>
      <w:pPr>
        <w:pStyle w:val="2"/>
        <w:keepNext w:val="0"/>
        <w:keepLines w:val="0"/>
        <w:pageBreakBefore w:val="0"/>
        <w:widowControl w:val="0"/>
        <w:kinsoku/>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2022年12月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（此件公开发布）</w:t>
      </w: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p>
    <w:p>
      <w:pPr>
        <w:pStyle w:val="2"/>
        <w:keepNext w:val="0"/>
        <w:keepLines w:val="0"/>
        <w:pageBreakBefore w:val="0"/>
        <w:widowControl w:val="0"/>
        <w:kinsoku/>
        <w:overflowPunct/>
        <w:topLinePunct w:val="0"/>
        <w:autoSpaceDE/>
        <w:autoSpaceDN/>
        <w:bidi w:val="0"/>
        <w:spacing w:line="560" w:lineRule="exact"/>
        <w:ind w:firstLine="640"/>
        <w:jc w:val="left"/>
        <w:textAlignment w:val="auto"/>
        <w:rPr>
          <w:rFonts w:hint="eastAsia" w:ascii="仿宋" w:hAnsi="仿宋" w:eastAsia="仿宋" w:cs="仿宋"/>
          <w:sz w:val="32"/>
          <w:szCs w:val="32"/>
        </w:rPr>
      </w:pPr>
      <w:bookmarkStart w:id="0" w:name="_GoBack"/>
      <w:bookmarkEnd w:id="0"/>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34" w:hRule="atLeast"/>
        </w:trPr>
        <w:tc>
          <w:tcPr>
            <w:tcW w:w="8420" w:type="dxa"/>
            <w:vAlign w:val="center"/>
          </w:tcPr>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仿宋_GB2312" w:eastAsia="仿宋_GB2312"/>
                <w:sz w:val="28"/>
                <w:szCs w:val="28"/>
              </w:rPr>
            </w:pPr>
            <w:r>
              <w:rPr>
                <w:rFonts w:hint="eastAsia" w:ascii="仿宋_GB2312" w:eastAsia="仿宋_GB2312"/>
                <w:kern w:val="0"/>
                <w:sz w:val="28"/>
                <w:szCs w:val="28"/>
              </w:rPr>
              <w:t>抄送:省医疗保障局待遇保障处，市局各科室、局长、副局长，档(二)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34" w:hRule="atLeast"/>
        </w:trPr>
        <w:tc>
          <w:tcPr>
            <w:tcW w:w="8420" w:type="dxa"/>
            <w:vAlign w:val="center"/>
          </w:tcPr>
          <w:p>
            <w:pPr>
              <w:keepNext w:val="0"/>
              <w:keepLines w:val="0"/>
              <w:pageBreakBefore w:val="0"/>
              <w:widowControl w:val="0"/>
              <w:kinsoku/>
              <w:overflowPunct/>
              <w:topLinePunct w:val="0"/>
              <w:autoSpaceDE/>
              <w:autoSpaceDN/>
              <w:bidi w:val="0"/>
              <w:adjustRightInd w:val="0"/>
              <w:snapToGrid w:val="0"/>
              <w:spacing w:line="560" w:lineRule="exact"/>
              <w:textAlignment w:val="auto"/>
              <w:rPr>
                <w:rFonts w:ascii="仿宋_GB2312" w:eastAsia="仿宋_GB2312"/>
                <w:sz w:val="28"/>
                <w:szCs w:val="28"/>
              </w:rPr>
            </w:pPr>
            <w:r>
              <w:rPr>
                <w:rFonts w:hint="eastAsia" w:ascii="仿宋_GB2312" w:eastAsia="仿宋_GB2312"/>
                <w:sz w:val="28"/>
                <w:szCs w:val="28"/>
              </w:rPr>
              <w:t>商洛市医疗保障局办公室</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202</w:t>
            </w:r>
            <w:r>
              <w:rPr>
                <w:rFonts w:hint="eastAsia" w:ascii="仿宋_GB2312" w:eastAsia="仿宋_GB2312"/>
                <w:sz w:val="28"/>
                <w:szCs w:val="28"/>
              </w:rPr>
              <w:t>2年12月</w:t>
            </w:r>
            <w:r>
              <w:rPr>
                <w:rFonts w:hint="eastAsia" w:ascii="仿宋_GB2312" w:eastAsia="仿宋_GB2312"/>
                <w:sz w:val="28"/>
                <w:szCs w:val="28"/>
                <w:lang w:val="en-US" w:eastAsia="zh-CN"/>
              </w:rPr>
              <w:t>21</w:t>
            </w:r>
            <w:r>
              <w:rPr>
                <w:rFonts w:hint="eastAsia" w:ascii="仿宋_GB2312" w:eastAsia="仿宋_GB2312"/>
                <w:sz w:val="28"/>
                <w:szCs w:val="28"/>
              </w:rPr>
              <w:t>日印发</w:t>
            </w:r>
          </w:p>
        </w:tc>
      </w:tr>
    </w:tbl>
    <w:p>
      <w:pPr>
        <w:pStyle w:val="2"/>
        <w:keepNext w:val="0"/>
        <w:keepLines w:val="0"/>
        <w:pageBreakBefore w:val="0"/>
        <w:widowControl w:val="0"/>
        <w:kinsoku/>
        <w:wordWrap w:val="0"/>
        <w:overflowPunct/>
        <w:topLinePunct w:val="0"/>
        <w:autoSpaceDE/>
        <w:autoSpaceDN/>
        <w:bidi w:val="0"/>
        <w:spacing w:line="560" w:lineRule="exact"/>
        <w:ind w:right="640" w:firstLine="0" w:firstLineChars="0"/>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overflowPunct/>
        <w:topLinePunct w:val="0"/>
        <w:autoSpaceDE/>
        <w:autoSpaceDN/>
        <w:bidi w:val="0"/>
        <w:adjustRightInd/>
        <w:snapToGrid/>
        <w:spacing w:line="606"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60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陕西省基本医疗保险门诊慢特病</w:t>
      </w:r>
    </w:p>
    <w:p>
      <w:pPr>
        <w:keepNext w:val="0"/>
        <w:keepLines w:val="0"/>
        <w:pageBreakBefore w:val="0"/>
        <w:widowControl w:val="0"/>
        <w:kinsoku/>
        <w:overflowPunct/>
        <w:topLinePunct w:val="0"/>
        <w:autoSpaceDE/>
        <w:autoSpaceDN/>
        <w:bidi w:val="0"/>
        <w:adjustRightInd/>
        <w:snapToGrid/>
        <w:spacing w:line="60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病种鉴定标准（暂行）</w:t>
      </w:r>
    </w:p>
    <w:p>
      <w:pPr>
        <w:keepNext w:val="0"/>
        <w:keepLines w:val="0"/>
        <w:pageBreakBefore w:val="0"/>
        <w:widowControl w:val="0"/>
        <w:kinsoku/>
        <w:overflowPunct/>
        <w:topLinePunct w:val="0"/>
        <w:autoSpaceDE/>
        <w:autoSpaceDN/>
        <w:bidi w:val="0"/>
        <w:adjustRightInd/>
        <w:snapToGrid/>
        <w:spacing w:line="606" w:lineRule="exact"/>
        <w:ind w:firstLine="2640" w:firstLineChars="600"/>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黑体" w:hAnsi="黑体" w:eastAsia="黑体" w:cs="黑体"/>
          <w:sz w:val="32"/>
          <w:szCs w:val="32"/>
        </w:rPr>
        <w:t>一、高血压（包括分期高血压和并发症）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临床确诊高血压，并具备下列并发症之一者:</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1.脑血管意外(包括腔隙性脑梗塞及症状、短暂性脑缺</w:t>
      </w:r>
    </w:p>
    <w:p>
      <w:pPr>
        <w:keepNext w:val="0"/>
        <w:keepLines w:val="0"/>
        <w:pageBreakBefore w:val="0"/>
        <w:widowControl w:val="0"/>
        <w:kinsoku/>
        <w:overflowPunct/>
        <w:topLinePunct w:val="0"/>
        <w:autoSpaceDE/>
        <w:autoSpaceDN/>
        <w:bidi w:val="0"/>
        <w:adjustRightInd/>
        <w:snapToGrid/>
        <w:spacing w:line="606"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血发作)或高血压脑病；</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2.高血压性心脏疾病(心肌梗塞、心绞痛、心力衰竭等)；</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3.高血压肾病； </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4.眼底出血，渗出或视乳头水肿。</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二、糖尿病（包括并发症）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符合糖尿病诊断标准的所有类型糖尿病，包括Ⅰ型糖尿病、LADA、Ⅱ型糖尿病： </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1.Ⅰ型糖尿病(可不伴并发症)；</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符合下列（2）（3）（4）（5）并发症其中一条：</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2.Ⅱ型糖尿病伴并发症: (1)临床确诊糖尿病，有三年以上病史；(2)有慢性并发症(心、脑、肾、眼、周围神经病变、周围血管病变等并发症既往史)的临床表现及相应并发症检查资料；(3)糖尿病合并周围神经病变需附肌电或感应阈值检查报告(显示阳性)；(4)糖尿病合并周围血管病变需附下肢血管彩超提示有斑块形成。（5）尿ACR尿微量蛋白肌酐比值大于等于30mg/g。</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三、高脂血症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空腹静脉血浆检查以下指标至少1项异常：</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1.总胆固醇≥5.2mmol/L，甘油三脂≥2.3mmol/L,低密度脂蛋白≥3.1mmol/L</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2.已行降脂治疗或颈部动脉、下肢动脉有粥样斑块形成，高密度脂蛋白胆固醇＜1.0mmol/L。</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四、恶性肿瘤门诊治疗</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符合诊断条件1条或（和）2条的：</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1.临床已确诊恶性肿瘤；</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2.病理诊断报告或相关影像学检查支持恶性肿瘤的诊断。</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五、器官移植抗排异治疗</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有器官移植病史。</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六、脑血管病后遗症(脑卒中后遗症)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脑血管病发病后6个月以上，且神经功能缺损程度评分4分以上的患者。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七、肺结核活动期（包括耐药性结核病）</w:t>
      </w:r>
    </w:p>
    <w:p>
      <w:pPr>
        <w:keepNext w:val="0"/>
        <w:keepLines w:val="0"/>
        <w:pageBreakBefore w:val="0"/>
        <w:widowControl w:val="0"/>
        <w:kinsoku/>
        <w:overflowPunct/>
        <w:topLinePunct w:val="0"/>
        <w:autoSpaceDE/>
        <w:autoSpaceDN/>
        <w:bidi w:val="0"/>
        <w:adjustRightInd/>
        <w:snapToGrid/>
        <w:spacing w:line="606" w:lineRule="exact"/>
        <w:ind w:left="63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（一）肺结核活动期</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以下第（1）条单独出</w:t>
      </w:r>
      <w:r>
        <w:rPr>
          <w:rFonts w:hint="eastAsia" w:ascii="仿宋_GB2312" w:hAnsi="仿宋_GB2312" w:eastAsia="仿宋_GB2312" w:cs="仿宋_GB2312"/>
          <w:spacing w:val="-6"/>
          <w:sz w:val="32"/>
          <w:szCs w:val="32"/>
        </w:rPr>
        <w:t>现不能诊断，需结合第（2）-（5）中任意一项可诊断，第（2）-（5）具备1条或1条以上可诊断。</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（1）有肺结核接触史，或具有常见结核病临床表现； </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（2）结核菌涂片阳性或结核菌培养阳性；</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（3）胸部影像有与活动性结核相符的病变；</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（4）支气管镜检查符合结核改变；</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（5）病理学检查符合结核病病理改变。</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（二）耐药性结核病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（1）符合结核（包括肺结核）临床表现；</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（2）结核病相关实验室检查阳性；</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（3）结核病影像检查有活动性改变；</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（4）药敏试验证实对一种或多种一线二线结核药物具有耐药性。</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八、精神病（包括精神分裂症、双相障碍、妄想性障碍、分裂情感性障碍；癫痫性精神病、重度以上精神发育迟滞）</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1.依据《国际疾病分类第10版》（ICD-10)诊断标准确诊；</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2.提供精神病专科医院或综合医院精神卫生科门诊或住院病历。</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九、透析（含血液透析、腹膜透析）</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1.临床相关诊断明确，有明显慢性肾功能衰竭症状；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2.有肾功能异常：尿素氮、血肌酐值符合失代偿期诊断标准，且必须透析治疗；</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3.有明确的长期慢性肾病疾病(CKD)病史并同时符合以下实验室检查结果(肌酐≥707.2；内生肌酐清除率≤5-10ml/min. 糖尿病及60岁以上，肌酐≥528；内生肌酐清除率≤15ml/min，尿素氮≥28.6mmol/L，血钾≥6.5mmol/L作为参考标准。</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十、氟骨病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1.出生并居住在地方性氟中毒病区或出生后迁居病区1年以上，颈、腰和四肢大关节疼痛，肢体运动功能障碍以及骨和关节X线征象异常，诊断为中、重度的氟骨症病例；</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2.流行病学及病历资料（临床症状、体征等）、专业医生开具的诊断书；</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3.颈、腰、骨盆、四肢大关节（3个部位以上）的影像学资料（X线检查、CT、核磁等）。</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十一、大骨节病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left="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1.具有病区接触史（6个月以上），有多发性、对称性</w:t>
      </w:r>
    </w:p>
    <w:p>
      <w:pPr>
        <w:keepNext w:val="0"/>
        <w:keepLines w:val="0"/>
        <w:pageBreakBefore w:val="0"/>
        <w:widowControl w:val="0"/>
        <w:kinsoku/>
        <w:overflowPunct/>
        <w:topLinePunct w:val="0"/>
        <w:autoSpaceDE/>
        <w:autoSpaceDN/>
        <w:bidi w:val="0"/>
        <w:adjustRightInd/>
        <w:snapToGrid/>
        <w:spacing w:line="60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手指关节增粗或短指（趾）畸形等体征并排除其他相关疾病，临床诊断为大骨节病Ⅱ度及以上的病例；</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2.手部或踝关节侧位X线片具有大骨节病X线征象，X</w:t>
      </w:r>
    </w:p>
    <w:p>
      <w:pPr>
        <w:keepNext w:val="0"/>
        <w:keepLines w:val="0"/>
        <w:pageBreakBefore w:val="0"/>
        <w:widowControl w:val="0"/>
        <w:kinsoku/>
        <w:overflowPunct/>
        <w:topLinePunct w:val="0"/>
        <w:autoSpaceDE/>
        <w:autoSpaceDN/>
        <w:bidi w:val="0"/>
        <w:adjustRightInd/>
        <w:snapToGrid/>
        <w:spacing w:line="60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线诊断为大骨节病中度及以上的病例。</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十二、克山病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1.在克山病病区连续生活6个月以上，具有心肌病或心功能不全的临床表现；</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2.心电图、X线胸片或心脏彩超检查，排除包括心肌病</w:t>
      </w:r>
    </w:p>
    <w:p>
      <w:pPr>
        <w:keepNext w:val="0"/>
        <w:keepLines w:val="0"/>
        <w:pageBreakBefore w:val="0"/>
        <w:widowControl w:val="0"/>
        <w:kinsoku/>
        <w:overflowPunct/>
        <w:topLinePunct w:val="0"/>
        <w:autoSpaceDE/>
        <w:autoSpaceDN/>
        <w:bidi w:val="0"/>
        <w:adjustRightInd/>
        <w:snapToGrid/>
        <w:spacing w:line="60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在内的其他心脏疾病；</w:t>
      </w:r>
    </w:p>
    <w:p>
      <w:pPr>
        <w:keepNext w:val="0"/>
        <w:keepLines w:val="0"/>
        <w:pageBreakBefore w:val="0"/>
        <w:widowControl w:val="0"/>
        <w:kinsoku/>
        <w:overflowPunct/>
        <w:topLinePunct w:val="0"/>
        <w:autoSpaceDE/>
        <w:autoSpaceDN/>
        <w:bidi w:val="0"/>
        <w:adjustRightInd/>
        <w:snapToGrid/>
        <w:spacing w:line="606" w:lineRule="exact"/>
        <w:ind w:left="630" w:left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3.心功能Ⅱ级及以上者。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十三、儿童苯丙酮尿症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1.三级综合医院或专科医院临床明确诊断为苯丙酮尿症，新生儿筛查并复查发现血Phe浓度升高或出现相关临床表现；</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2.血Phe＞120umol/L(2mg/dl),Phe/Tyr＞2.0和(或)基因检测发现两个PAH等位基因均在致病变异；</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3.血Phe浓度、尿蝶呤谱分析及血DHPR测定等检测结果符合各类高苯丙胺酸血症。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十四、四氢生物蝶呤缺乏症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1.三级综合医院或专科医院临床明确诊断；</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2.血Phc＞120umol/L(2mg/dl),Phe/Tyr＞2.0;</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3.尿蝶呤谱分析符合四氢生物蝶呤缺乏症表现和基因突变位点检测异常;</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4.新生儿筛查并复查发现血Phc＞120umo/L(2mg/dl)。</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十五、甲状腺功能异常</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1.甲状腺功能亢进</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符合以下（1）（2）条或（3）条或（1）（2）（3）条：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（1）具备甲状腺功能亢进症的临床表现和体征；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（2）血清TT3、TT4、FT3、FT4开高，TSH降低；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（3）甲状腺彩超：弥漫性肿大、血流增快、呈“火海症”。</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2.甲状腺功能减退</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（1）具备甲状腺功能减退症的临床表现和体征；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（2）血清TT3、TT4、FT3、FT4降低，TSH升高；</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（3）需长期替代药物治疗；</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十六、血友病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同时具备1.2.3.4 条或1.2.3.5条：</w:t>
      </w:r>
    </w:p>
    <w:p>
      <w:pPr>
        <w:keepNext w:val="0"/>
        <w:keepLines w:val="0"/>
        <w:pageBreakBefore w:val="0"/>
        <w:widowControl w:val="0"/>
        <w:numPr>
          <w:ilvl w:val="0"/>
          <w:numId w:val="1"/>
        </w:numPr>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有或无家族史，有家族史者符合性联隐形遗传规律；</w:t>
      </w:r>
    </w:p>
    <w:p>
      <w:pPr>
        <w:keepNext w:val="0"/>
        <w:keepLines w:val="0"/>
        <w:pageBreakBefore w:val="0"/>
        <w:widowControl w:val="0"/>
        <w:numPr>
          <w:ilvl w:val="0"/>
          <w:numId w:val="1"/>
        </w:numPr>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有关节、肌肉、深部组织出血，活动过久、用力、创</w:t>
      </w:r>
    </w:p>
    <w:p>
      <w:pPr>
        <w:keepNext w:val="0"/>
        <w:keepLines w:val="0"/>
        <w:pageBreakBefore w:val="0"/>
        <w:widowControl w:val="0"/>
        <w:kinsoku/>
        <w:overflowPunct/>
        <w:topLinePunct w:val="0"/>
        <w:autoSpaceDE/>
        <w:autoSpaceDN/>
        <w:bidi w:val="0"/>
        <w:adjustRightInd/>
        <w:snapToGrid/>
        <w:spacing w:line="60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伤或手术后异常出血史；</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3.实验室检查结果阳性；</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4.有明确(活动性)出血症状:如关节、肌肉、部组织出血或实验室检查结果为Ⅷ因子活性检测＜25%、IX因子活性检查＜25%；</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5.有严重并发症：如关节畸形、假性肿瘤等。</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十七、再生障碍性贫血</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1.全血细胞减少，网织红细胞百分数＜0.01，淋巴细胞比例增高；</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2.骨髓多部位检查增生减低或重度减低，造血细胞减少，非造血细胞比例增高（包括骨髓活检）； </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3.排除其他原因引起的全血细胞减少性疾病。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十八、白血病门诊治疗</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1.在二级以上医院确诊过白血病；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2.临床表现有贫血、出血倾向、发热、骨痛、肝、脾淋巴结肿大等；</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3.血常规、骨髓化验检查符合白血病诊断条件。骨髓或者流式检测确定急性白血病(原幼＞20%)。</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十九、慢性粒细胞白血病 </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2.骨髓或基因检测结果符合慢性粒细胞白血病诊断条件；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3.骨髓报告/基因检测/染色体/FISH/检测 Bcr/abl或(9:22)染色体异位。</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二十、儿童白血病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1.年龄＜18岁。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2.骨穿检查或有基因染色体证实为慢性白血病；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3.三级医院确诊过白血病;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4.临床表现有贫血、出现倾向、发热、骨痛、肝、脾淋巴结肿大等；</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5.血常规、骨髓化验检查结果符合白血病诊断条件。</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二十一、癫痫  </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符合1、2条或1、3条：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1.相关病史住院资料；</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2.近一年出现两次以上癫痫性发作的病历资料；</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3.脑电图描记报告符合癫痫的诊断标准。</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二十二、脑瘫 </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1.提供相关病史资料，临床相关诊断明确；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2.婴儿时期出现症状，表现为发育落后或各种运动障碍；</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3.有脑损伤神经学症状：脑损伤或脑发育缺陷为非进行性，中枢性运动障碍及姿势和运动模式异常及活动受限、发育性反射异常、肌张力异常；</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4.常伴随智力低下、言语障碍、惊厥、感知觉障碍及其它异常；</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5.需除外进行性疾病所致的中枢性瘫痪、正常婴幼儿的一过性运动发育滞后及疾病; </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6.头颅CT、MRI检查可见结构性改变。</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二十三、慢性阻塞性肺疾病 </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（一）诊断标准</w:t>
      </w:r>
      <w:r>
        <w:rPr>
          <w:rFonts w:hint="eastAsia" w:ascii="楷体_GB2312" w:hAnsi="楷体_GB2312" w:eastAsia="楷体_GB2312" w:cs="楷体_GB2312"/>
          <w:sz w:val="32"/>
          <w:szCs w:val="32"/>
        </w:rPr>
        <w:t xml:space="preserve"> </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1.有慢性咳嗽、咳痰、喘息、呼吸困难等临床表现；</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2.肺功能检查：吸入支气管舒张剂后FEV1/FVC＜70%，可根据肺功能质控要求标准综合判断；</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3.胸部影像学表现为双肺纹理增粗、紊乱，肺气肿、肺大疱表现。</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二十四、支气管哮喘</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符合1—4条或4、5条：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1.反复发作性喘息、气急</w:t>
      </w:r>
      <w:r>
        <w:rPr>
          <w:rFonts w:hint="eastAsia" w:ascii="仿宋_GB2312" w:hAnsi="仿宋_GB2312" w:eastAsia="仿宋_GB2312" w:cs="仿宋_GB2312"/>
          <w:spacing w:val="-6"/>
          <w:sz w:val="32"/>
          <w:szCs w:val="32"/>
        </w:rPr>
        <w:t>、胸闷或咳嗽，多与接触变应原、冷空气、物理、化学性刺激、病毒性上呼吸道感染、运动等有关；</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2.发作时在双肺可闻及散在或弥漫性、以呼气相为主的哮鸣音，呼气相延长；</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3.上述症状可经治疗缓解或自行缓解；</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4.除外其他疾病所引起的喘息、气急、胸闷和咳嗽；</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5.临床表现不典型者（如无明显喘息或体征）应有下列三项中至少一项阳性：（1）支气管激发试验或运动试验阳性；（2）支气管舒张试验阳性；（3）昼夜PEF变异率≥20%。</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二十五、特发性肺间质纤维化</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1.进行性气急、咳嗽、肺部湿罗音或捻发音；</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2.CT检查：典型改变胸膜下基底部分布为主的网格影和蜂窝影，伴或不伴牵拉性支气管扩张，磨玻璃样改变不明显；</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3.</w:t>
      </w:r>
      <w:r>
        <w:fldChar w:fldCharType="begin"/>
      </w:r>
      <w:r>
        <w:instrText xml:space="preserve"> HYPERLINK "https://baike.so.com/doc/5972881.html" \t "https://baike.so.com/doc/_blank" </w:instrText>
      </w:r>
      <w:r>
        <w:fldChar w:fldCharType="separate"/>
      </w:r>
      <w:r>
        <w:rPr>
          <w:rFonts w:hint="eastAsia" w:ascii="仿宋_GB2312" w:hAnsi="仿宋_GB2312" w:eastAsia="仿宋_GB2312" w:cs="仿宋_GB2312"/>
          <w:sz w:val="32"/>
          <w:szCs w:val="32"/>
        </w:rPr>
        <w:t>肺功能检查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：可见</w:t>
      </w:r>
      <w:r>
        <w:rPr>
          <w:rFonts w:hint="eastAsia" w:ascii="仿宋_GB2312" w:hAnsi="仿宋_GB2312" w:eastAsia="仿宋_GB2312" w:cs="仿宋_GB2312"/>
          <w:spacing w:val="-11"/>
          <w:sz w:val="32"/>
          <w:szCs w:val="32"/>
        </w:rPr>
        <w:t>肺容量减少、弥散功能降低和低氧血症；</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4.如有可能，提供肺组织活检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"https://baike.so.com/doc/5574905.html" \t "https://baike.so.com/doc/_blank"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病理学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依据。（非必要条件）</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二十六、冠心病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1.急性心肌梗死</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（1）疼痛</w:t>
      </w:r>
      <w:r>
        <w:rPr>
          <w:rFonts w:hint="eastAsia" w:ascii="仿宋_GB2312" w:hAnsi="仿宋_GB2312" w:eastAsia="仿宋_GB2312" w:cs="仿宋_GB2312"/>
          <w:spacing w:val="-6"/>
          <w:sz w:val="32"/>
          <w:szCs w:val="32"/>
        </w:rPr>
        <w:t>或无痛，休息和含硝酸甘油等扩冠脉药多不缓解；</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（2）心电图：ST段抬高呈弓背向上型、病理性Q波；或有典型的缺血性心电图改变（ST段压低、T波倒置）；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（3）肌钙蛋白、肌酸激酶同工酶升高；</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（4）病程4个月以内（发病之日至受理资料时间）。</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2.陈旧性心肌梗死</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确诊急性心肌梗死8周以上，且至少有下列一种并发症或合并症：</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（1）慢性心力衰竭(同高血压3级极高危中慢性心力衰竭标准)；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严重心律失常（动态心电图提示：清醒静息状态下，持续窦性心动过缓≤40次/分；Ⅱ度Ⅱ型以上窦房阻滞；持续性房扑或持续性房颤；Ⅱ度Ⅱ型以上房室传导阻滞或频发多源性室性早搏；持续性室性心动过速需抗心律失常药物控制的(药物性和一过性除外）；</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（3）不稳定性心绞痛（结合血管造影或心电图改变确诊）；</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（4）经皮球囊冠状动脉腔内成形术、支架植入术后或旁路移植(搭桥)术后；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（5）仍存在心外膜下大血管狭窄≥70%，左主干狭窄≥50%。</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3.冠心病（除外心肌梗死）支架术后标准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支架手术记录及相关耗材。</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二十七、肺源性心脏病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符合1、2条或1、2、3条：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1.有慢性阻塞性肺疾病，其它支气管、肺部疾患，胸廓疾病和肺血管病变的病史；</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2.胸片、心电图、超声心动图检查提示肺动脉高压、右心室增大；</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3.有右心功能不全的临床表现。</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二十八、慢性心力衰竭</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符合1、2条或1、3条：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1.心力衰竭的临床病史及体征；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2.超声心动图：（1）左心室舒张末内径（女性LVEDd＞5.0cm或男性LVEDd＞5.5cm）；（2）左心室射血分数LVEF≤40%；</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3.NT-pro BNP或BNP符合心力衰竭诊断标准。</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二十九、心脏瓣膜病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符合以下任意一条：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超声心动图示瓣膜狭窄和或关闭不全（中或重度），出现房和（或）室增大（左房内径≥35mm，左室舒张末内径女性＞5.0cm，男性＞5.5cm；右房＞50×40mm，右室＞20mm。），出现经住院诊治的心功能NYHF分级Ⅱ-Ⅳ级，或合并心房颤动、心房排扑动；</w:t>
      </w:r>
    </w:p>
    <w:p>
      <w:pPr>
        <w:keepNext w:val="0"/>
        <w:keepLines w:val="0"/>
        <w:pageBreakBefore w:val="0"/>
        <w:widowControl w:val="0"/>
        <w:kinsoku/>
        <w:overflowPunct/>
        <w:topLinePunct w:val="0"/>
        <w:autoSpaceDE/>
        <w:autoSpaceDN/>
        <w:bidi w:val="0"/>
        <w:adjustRightInd/>
        <w:snapToGrid/>
        <w:spacing w:line="60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2.心脏瓣膜置换术后。</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三十、风湿性心脏病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1.三</w:t>
      </w:r>
      <w:r>
        <w:rPr>
          <w:rFonts w:hint="eastAsia" w:ascii="仿宋_GB2312" w:hAnsi="仿宋_GB2312" w:eastAsia="仿宋_GB2312" w:cs="仿宋_GB2312"/>
          <w:spacing w:val="-11"/>
          <w:sz w:val="32"/>
          <w:szCs w:val="32"/>
        </w:rPr>
        <w:t>级医院或二级及以上专科医院临床确诊风湿性心脏病；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2.超声心动图检查显示中重度瓣膜病变；</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3.风湿炎症导致的心脏瓣膜结构和(或)功能异常。</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三十一、心肌病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影像学提示心脏改变，心影明显增大，肺淤血；心电图可见多种心电异常如心房颤动传导阻滞等各种心律失常；超声心动图提示有心脏普遍扩大、运动减弱、心功能减退(心衰Ⅱ度、心功能Ⅲ级以上)等扩张性心肌病特有改变。心功能2级，三级医院心脏超声或心脏磁共振提示心功能降低(EF值＜50%)，室壁运动减弱。</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3.肥厚型心肌病：临床折返丰富的为肥厚型心肌病，三级医院心脏超声或磁共振提示室间隔厚度≥15mm或室间隔与左室后壁比值≥1.3；心尖部或室壁普遍增厚。</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三十二、病毒性肝炎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符合以下1-3条，同时具备4-7条中的任意1条，或仅符合第8条：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1.病程超过6个月；</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2.肝炎病毒标志物阳性；</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3.ALT高于正常检测值或ALT正常但符合：（1）年龄大于30岁，有肝硬化或肝癌家族史；（2）年龄大于30岁，无创肝纤维化诊断技术提示存在明显肝脏炎症或肝纤维化；（3）存在HBV相关肝外损害；</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4.血清胆红素测定值大于正常值上限的2倍；</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5.血浆白蛋白低于正常值；</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6.凝血酶原活动度低于正常值下限；</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7.胆碱酯酶低于正常值下限；</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8.肝活检有慢性中（重）度病毒性肝炎的病理改变。</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三十三、肝硬化失代偿期</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符合以下1-3条，或符合1、4条：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1.有肝病史；</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2.有门静脉高压的临床症状、体征及检查（实验室及影像检查）；</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3.血清白蛋白下降，胆红素增高，凝血酶原活动度降低；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4.上消化道出血、肝性脑病、肝肾综合征等并发症。</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三十四、慢性肾功能不全失代偿期</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1.临床诊断明确，有慢性肾脏疾病史；</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2.有肾脏排泄、分泌及调节机能减退；</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3.肾功能：血肌酐&gt;178umol/L和或肌酐清除率&lt;60ml/min。</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三十五、肾病综合征</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符合以下1-3条或1、2、4条：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由微小病变型肾病、系膜增生性肾小球肾炎、IgA肾病、局灶节段性肾小球硬化、膜性肾病、系膜增生性肾小球肾炎及系膜毛细血管性肾小球肾炎引起：</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1.大量蛋白尿（尿蛋白定量＞3.5g/d）；</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2.低蛋白血症（血浆白蛋白＜30g/L）；</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3.水肿（出现眼睑或下肢轻度水肿）；</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4.高脂血症（血清总胆固醇或甘油三酯高于正常值）。</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三十六、慢性肾炎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2.化验室检查提示有血尿、蛋白尿或肾小管损伤；</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3.三个月以上病史或肾活检病理报告；</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4.检测尿蛋白≥1.0g/24h及尿蛋白≥++，两次以上；持续血尿；尿红细胞≥5个或红细胞计数≥10000个/ml。</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三十七、慢性肾小球肾炎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2.检测尿蛋白≥1.0g/24h（检测尿蛋白≥0.5g/24h)及尿蛋白&gt;++，两次以上;持续血尿:尿红细胞≥5个或红细胞计数≥10000个/ml；</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3.有半年（三个月）以上病史及肾活检病理报告。</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三十八、免疫性血小板减少症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1.出血症状：如皮肤粘膜出血，或消化道、泌尿道出血；</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2.实验室检查血小板计数减少（至少2次以上血常规）；</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3.脾脏一般不肿大；</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4.骨髓检查巨核细胞增多或正常，伴成熟障碍；</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5.排除其他继发性血小板减少症。</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三十九、生长激素缺乏症</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1.身高落后于同年龄、同性别正常健康儿童身高的第3百分位数[减1.88个标准差(-1.88SD)] 或减2个标准差( - -2SD)以下;</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2.年生长速率&lt;7cm/年(3岁以下) ;&lt;5cm/年(3岁-青春期前) ;&lt;6cm/年(青春期) ;</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3.匀称性矮小、面容幼稚;</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4.智力发育正常；</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5.骨龄落后于实际年龄;</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6.两项GH药物激发试验GH峰值均&lt;10μg/L ;</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7.血清胰岛素样生长因子1 (IGF1) 水平低于正常。</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四十、强直性脊柱炎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腰背痛≥3个月的患者，符合1、2中任意一条：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1.影像学提示骶髂关节炎加上≥1个下述的SpA特征；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2.HLA—B27阳性加上≥2个下述的其他SpA特征。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其中影像学提示骶髂关节炎指的是：（1）MRI提示骶髂关节活动性(急性)炎症，高度提示与SpA相关的骶髂关节炎或（2）明确的骶髂关节炎影像学改变(根据1984年修订的纽约标准)。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SpA特征包括：（1）炎性背痛；（2）关节炎；（3）起止点炎(跟腱)；（4）眼葡萄膜炎；（5）指(趾)炎；（6）银屑病；（7）克罗恩病，溃疡性结肠炎；（8）对非甾体抗炎药(NSAIDs)反应良好；（9）SpA家族史；（10）HLA—B27阳性；（11）CRP升高。</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四十一、类风湿性关节炎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2.相关检查支持诊断并符合以下条件中任意四项: ①晨僵(不少于6周)；②三个或三个以上关节肿(不少于6周)；③对称性关节肿(不少于6周)；④腕、掌指关节和近端指问关节肿(不少于6周)；⑤皮下结节；⑥手X光片改变；⑦类风湿因子阳性。</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四十二、慢性骨髓炎</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需根据病史、症状、实验室检查、组织病理学、影像学综合判断。</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四十三、帕金森病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1.经三甲医院确诊；</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2.有震颤舞蹈动作或动作僵硬、缓慢等帕金森综合症的临床表现。</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四十四、系统性红斑狼疮</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1.临床诊断明确；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符合美国风湿病学(ARA)诊断标准,并有一个或一个以上脏器损害的中、重度病人。</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四十五、银屑病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在二级甲等及以上医院就诊，组织病理确诊为银屑病，慢性反复发作，有连续一年以上的治疗记录，并符合下列情况之一者：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1.寻常型银屑病BAS≥10%或PASI&gt;12分的中重度患者；</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2.关节型（除外风湿相关关节损害）、脓疮型或红皮病型银屑病。</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四十六、中枢神经系统脱髓鞘疾病</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包括多发性硬化、视神经脊髓炎谱系疾病。经公立三级乙等级别以上医院神经内科住院确诊，需长期使用激素及免疫抑制剂治疗。</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四十七、运动神经元病</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符合1-5条或符合6条：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1.临床、电生理或病理检查显示下运动神经元病变的证据；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2.临床检查显示上运动神经元病变的证据；</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3.经三级医院确诊，相关检查支持；</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4.排除其他可导致上下神经元病变的疾病；</w:t>
      </w:r>
    </w:p>
    <w:p>
      <w:pPr>
        <w:keepNext w:val="0"/>
        <w:keepLines w:val="0"/>
        <w:pageBreakBefore w:val="0"/>
        <w:widowControl w:val="0"/>
        <w:kinsoku/>
        <w:overflowPunct/>
        <w:topLinePunct w:val="0"/>
        <w:autoSpaceDE/>
        <w:autoSpaceDN/>
        <w:bidi w:val="0"/>
        <w:adjustRightInd/>
        <w:snapToGrid/>
        <w:spacing w:line="606"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5.患者存在一定程度的生活能力或工作能力的下降{经</w:t>
      </w:r>
    </w:p>
    <w:p>
      <w:pPr>
        <w:keepNext w:val="0"/>
        <w:keepLines w:val="0"/>
        <w:pageBreakBefore w:val="0"/>
        <w:widowControl w:val="0"/>
        <w:kinsoku/>
        <w:overflowPunct/>
        <w:topLinePunct w:val="0"/>
        <w:autoSpaceDE/>
        <w:autoSpaceDN/>
        <w:bidi w:val="0"/>
        <w:adjustRightInd/>
        <w:snapToGrid/>
        <w:spacing w:line="60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日常生活能力评定量表评定}</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6.临床明确诊断为下列疾病之一：运动神经元病；肌萎缩侧索硬化；进行性肌萎缩；进行性延髓麻痹；原发性侧索硬化。</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四十八、股骨头坏死</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具有临床表现和体征，同时具备以下任意一条：</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1.CT：出现骨硬化带包绕坏死骨、修复骨，或软骨下骨断裂；</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2.MRI：T1加权像局限性软骨下带状（也称线状）低信号影或T2加权像双线征，或放射性核素检查显示股骨头坏死。</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四十九、系统性硬化症</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符合2013年ACR/EULAR、SSc标准。</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五十、肝豆状核变性</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1.三级医院临床确诊肝豆状核变性，相关检查支持诊断(眼底检查、化验检查等指标异常)。</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2.检查：铜蓝蛋白、24小时尿铜异常；肝组织铜含量增高；角膜K-F环有可能阳性；ATP7B基因检测异常。</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五十一、重症肌无力</w:t>
      </w:r>
    </w:p>
    <w:p>
      <w:pPr>
        <w:keepNext w:val="0"/>
        <w:keepLines w:val="0"/>
        <w:pageBreakBefore w:val="0"/>
        <w:widowControl w:val="0"/>
        <w:kinsoku/>
        <w:overflowPunct/>
        <w:topLinePunct w:val="0"/>
        <w:autoSpaceDE/>
        <w:autoSpaceDN/>
        <w:bidi w:val="0"/>
        <w:adjustRightInd/>
        <w:snapToGrid/>
        <w:spacing w:line="60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1.波动性骨骼肌无力的，活动后加重、休息后减轻；</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2.新斯的明实验（+）或肌电图重频电刺激波幅递减；</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3.经二级甲等及以上医院神经内科医生诊断的住院患者。</w:t>
      </w:r>
    </w:p>
    <w:p>
      <w:pPr>
        <w:keepNext w:val="0"/>
        <w:keepLines w:val="0"/>
        <w:pageBreakBefore w:val="0"/>
        <w:widowControl w:val="0"/>
        <w:kinsoku/>
        <w:overflowPunct/>
        <w:topLinePunct w:val="0"/>
        <w:autoSpaceDE/>
        <w:autoSpaceDN/>
        <w:bidi w:val="0"/>
        <w:adjustRightInd/>
        <w:snapToGrid/>
        <w:spacing w:line="606" w:lineRule="exact"/>
        <w:ind w:firstLine="643"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（二）鉴定条件</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1.符合以上诊断标准；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2.相关住院或门诊病历；</w:t>
      </w:r>
    </w:p>
    <w:p>
      <w:pPr>
        <w:keepNext w:val="0"/>
        <w:keepLines w:val="0"/>
        <w:pageBreakBefore w:val="0"/>
        <w:widowControl w:val="0"/>
        <w:kinsoku/>
        <w:overflowPunct/>
        <w:topLinePunct w:val="0"/>
        <w:autoSpaceDE/>
        <w:autoSpaceDN/>
        <w:bidi w:val="0"/>
        <w:adjustRightInd/>
        <w:snapToGrid/>
        <w:spacing w:line="60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3.有效诊断证明。</w:t>
      </w:r>
    </w:p>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textAlignment w:val="auto"/>
        <w:rPr>
          <w:rFonts w:ascii="仿宋" w:hAnsi="仿宋" w:eastAsia="仿宋" w:cs="仿宋"/>
          <w:sz w:val="32"/>
          <w:szCs w:val="32"/>
        </w:rPr>
        <w:sectPr>
          <w:footerReference r:id="rId3" w:type="default"/>
          <w:pgSz w:w="11906" w:h="16838"/>
          <w:pgMar w:top="1701" w:right="1701" w:bottom="1701" w:left="1701" w:header="851" w:footer="1361" w:gutter="0"/>
          <w:pgNumType w:fmt="numberInDash"/>
          <w:cols w:space="0" w:num="1"/>
          <w:rtlGutter w:val="0"/>
          <w:docGrid w:type="lines" w:linePitch="312" w:charSpace="0"/>
        </w:sectPr>
      </w:pPr>
    </w:p>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附件2</w:t>
      </w:r>
    </w:p>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商洛市门诊慢特病（Ⅰ类）待遇标准</w:t>
      </w:r>
    </w:p>
    <w:tbl>
      <w:tblPr>
        <w:tblStyle w:val="5"/>
        <w:tblW w:w="135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8"/>
        <w:gridCol w:w="3096"/>
        <w:gridCol w:w="1017"/>
        <w:gridCol w:w="1023"/>
        <w:gridCol w:w="1321"/>
        <w:gridCol w:w="1582"/>
        <w:gridCol w:w="1062"/>
        <w:gridCol w:w="1482"/>
        <w:gridCol w:w="1464"/>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blHeader/>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病种</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病种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代码</w:t>
            </w:r>
          </w:p>
        </w:tc>
        <w:tc>
          <w:tcPr>
            <w:tcW w:w="79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支付标准</w:t>
            </w:r>
          </w:p>
        </w:tc>
        <w:tc>
          <w:tcPr>
            <w:tcW w:w="90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392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城乡居民</w:t>
            </w:r>
          </w:p>
        </w:tc>
        <w:tc>
          <w:tcPr>
            <w:tcW w:w="4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城镇职工</w:t>
            </w:r>
          </w:p>
        </w:tc>
        <w:tc>
          <w:tcPr>
            <w:tcW w:w="9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c>
          <w:tcPr>
            <w:tcW w:w="10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起付标准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支付比例（%）</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基金年度支付限额（元）</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起付标准</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支付比例（%）</w:t>
            </w:r>
          </w:p>
        </w:tc>
        <w:tc>
          <w:tcPr>
            <w:tcW w:w="14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基金年度支付限额（元）</w:t>
            </w:r>
          </w:p>
        </w:tc>
        <w:tc>
          <w:tcPr>
            <w:tcW w:w="9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高血压</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M03900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糖尿病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高脂血症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M01912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恶性肿瘤门诊治疗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75</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器官移植抗排异治疗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M08300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75</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脑血管病后遗症（脑卒中后遗症）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M04803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肺结核活动期</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M00116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耐药性结核病</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精神病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透析（含血液透析、腹膜透析）</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M07801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氟骨病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M11700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大骨节病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M08800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克山病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M01913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儿童苯丙酮尿症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M01802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四氢生物蝶呤缺乏症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M01801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甲状腺功能异常</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16</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血友病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M01200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17</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再生障碍性贫血</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M01102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18</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白血病门诊治疗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19</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慢性粒细胞性白血病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M00803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儿童白血病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M00820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癫痫</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脑瘫</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M02601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4800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23</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慢性阻塞性肺疾病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M05300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支气管哮喘</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M05400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25</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特发性肺间质纤维化</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M05601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冠心病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肺源性心脏病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28</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慢性心力衰竭</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M04301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29</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心脏瓣膜病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风湿性心脏病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M03802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心肌病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M04200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32</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病毒性肝炎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M00200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33</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肝硬化失代偿期</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M06201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慢性肾功能不全失代偿期</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M07806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肾病综合征</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慢性肾炎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M07600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37</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慢性肾小球肾炎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M07603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38</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免疫性血小板减少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M01501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39</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生长激素缺乏症（重组人生长激素治疗）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M01928</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强直性脊柱炎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M07200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类风湿性关节炎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M06900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慢性骨髓炎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43</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帕金森病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44</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系统性红斑狼疮</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M07101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10000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银屑病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M06700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46</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中枢神经系统脱髓鞘疾病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M03000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1800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1800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47</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运动神经元病</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48</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股骨头坏死</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M07401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系统性硬化症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M07105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50</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肝豆状核变性</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M01904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重症肌无力</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M03200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FF0000"/>
                <w:sz w:val="20"/>
                <w:szCs w:val="20"/>
                <w:u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附件3</w:t>
      </w:r>
    </w:p>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商洛市门诊慢特病（Ⅱ类）待遇标准</w:t>
      </w:r>
    </w:p>
    <w:tbl>
      <w:tblPr>
        <w:tblStyle w:val="5"/>
        <w:tblW w:w="13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458"/>
        <w:gridCol w:w="1303"/>
        <w:gridCol w:w="1296"/>
        <w:gridCol w:w="1245"/>
        <w:gridCol w:w="1655"/>
        <w:gridCol w:w="1296"/>
        <w:gridCol w:w="1245"/>
        <w:gridCol w:w="16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病种</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病种代码</w:t>
            </w:r>
          </w:p>
        </w:tc>
        <w:tc>
          <w:tcPr>
            <w:tcW w:w="83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支付标准</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41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城乡居民</w:t>
            </w: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城镇职工</w:t>
            </w: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起付标准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支付比例</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基金年度支付</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限额（元）</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起付标准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支付比例</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基金年度支付</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限额（元）</w:t>
            </w: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阿尔茨海默病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M02400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75</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骨关节炎(仅限膝关节)</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M09000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仅限城乡居民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矽肺病</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M05500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仅限城乡居民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动脉血管内支架植入术后</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M08423</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6000</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75</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限术后1年</w:t>
            </w:r>
          </w:p>
        </w:tc>
      </w:tr>
    </w:tbl>
    <w:p>
      <w:pPr>
        <w:pStyle w:val="2"/>
        <w:keepNext w:val="0"/>
        <w:keepLines w:val="0"/>
        <w:pageBreakBefore w:val="0"/>
        <w:widowControl w:val="0"/>
        <w:kinsoku/>
        <w:wordWrap w:val="0"/>
        <w:overflowPunct/>
        <w:topLinePunct w:val="0"/>
        <w:autoSpaceDE/>
        <w:autoSpaceDN/>
        <w:bidi w:val="0"/>
        <w:adjustRightInd/>
        <w:snapToGrid/>
        <w:spacing w:line="606" w:lineRule="exact"/>
        <w:ind w:right="640" w:firstLine="0" w:firstLineChars="0"/>
        <w:jc w:val="both"/>
        <w:textAlignment w:val="auto"/>
        <w:rPr>
          <w:rFonts w:hint="eastAsia" w:ascii="方正小标宋简体" w:hAnsi="方正小标宋简体" w:eastAsia="方正小标宋简体" w:cs="方正小标宋简体"/>
          <w:sz w:val="44"/>
          <w:szCs w:val="44"/>
        </w:rPr>
      </w:pPr>
    </w:p>
    <w:sectPr>
      <w:pgSz w:w="16838" w:h="11906" w:orient="landscape"/>
      <w:pgMar w:top="1701" w:right="1701" w:bottom="1701" w:left="1701"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46151"/>
    <w:multiLevelType w:val="singleLevel"/>
    <w:tmpl w:val="A364615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zZhMGU4NzczNWZjYjQxNjk3N2FjZWNkYjBmM2YifQ=="/>
  </w:docVars>
  <w:rsids>
    <w:rsidRoot w:val="76DD67CB"/>
    <w:rsid w:val="00092C22"/>
    <w:rsid w:val="000A3801"/>
    <w:rsid w:val="000A39D5"/>
    <w:rsid w:val="000E15BB"/>
    <w:rsid w:val="000E5055"/>
    <w:rsid w:val="001154F1"/>
    <w:rsid w:val="001B1B9E"/>
    <w:rsid w:val="001D5DF7"/>
    <w:rsid w:val="00234BFB"/>
    <w:rsid w:val="00242AE0"/>
    <w:rsid w:val="00271E78"/>
    <w:rsid w:val="002D7325"/>
    <w:rsid w:val="003042C8"/>
    <w:rsid w:val="003042EF"/>
    <w:rsid w:val="00312EBA"/>
    <w:rsid w:val="003566D9"/>
    <w:rsid w:val="003C3B60"/>
    <w:rsid w:val="003D24A1"/>
    <w:rsid w:val="003F21B2"/>
    <w:rsid w:val="004528E6"/>
    <w:rsid w:val="0046336D"/>
    <w:rsid w:val="004B62A6"/>
    <w:rsid w:val="00543B86"/>
    <w:rsid w:val="00547E98"/>
    <w:rsid w:val="0057409D"/>
    <w:rsid w:val="005C5986"/>
    <w:rsid w:val="006922FE"/>
    <w:rsid w:val="006C07A4"/>
    <w:rsid w:val="006E54F1"/>
    <w:rsid w:val="006F0554"/>
    <w:rsid w:val="00747D32"/>
    <w:rsid w:val="008437DB"/>
    <w:rsid w:val="008D114E"/>
    <w:rsid w:val="009339E6"/>
    <w:rsid w:val="009454C7"/>
    <w:rsid w:val="009533C2"/>
    <w:rsid w:val="0095667F"/>
    <w:rsid w:val="00985B0F"/>
    <w:rsid w:val="00A253D5"/>
    <w:rsid w:val="00A257B8"/>
    <w:rsid w:val="00A96E6B"/>
    <w:rsid w:val="00A97A7A"/>
    <w:rsid w:val="00AF513C"/>
    <w:rsid w:val="00B10A2F"/>
    <w:rsid w:val="00B47B04"/>
    <w:rsid w:val="00B6380F"/>
    <w:rsid w:val="00B81877"/>
    <w:rsid w:val="00B97C3E"/>
    <w:rsid w:val="00BE611C"/>
    <w:rsid w:val="00C37B0C"/>
    <w:rsid w:val="00C728C6"/>
    <w:rsid w:val="00D40443"/>
    <w:rsid w:val="00D5004F"/>
    <w:rsid w:val="00D660A4"/>
    <w:rsid w:val="00D71F3E"/>
    <w:rsid w:val="00D779BE"/>
    <w:rsid w:val="00D77D6F"/>
    <w:rsid w:val="00DD27E0"/>
    <w:rsid w:val="00EC11EE"/>
    <w:rsid w:val="00F10620"/>
    <w:rsid w:val="00F221A2"/>
    <w:rsid w:val="00F57554"/>
    <w:rsid w:val="00F67EAB"/>
    <w:rsid w:val="00F81479"/>
    <w:rsid w:val="00FE62CE"/>
    <w:rsid w:val="02DA39A9"/>
    <w:rsid w:val="097E5F32"/>
    <w:rsid w:val="0A445BCF"/>
    <w:rsid w:val="111A3A30"/>
    <w:rsid w:val="13C12AFC"/>
    <w:rsid w:val="14DF7333"/>
    <w:rsid w:val="15E83167"/>
    <w:rsid w:val="16754FC7"/>
    <w:rsid w:val="1BA13EBC"/>
    <w:rsid w:val="20F47F37"/>
    <w:rsid w:val="24A361D8"/>
    <w:rsid w:val="26141788"/>
    <w:rsid w:val="29E172C4"/>
    <w:rsid w:val="2A841011"/>
    <w:rsid w:val="362A564B"/>
    <w:rsid w:val="37A60BC1"/>
    <w:rsid w:val="37D82ED2"/>
    <w:rsid w:val="3F732F1F"/>
    <w:rsid w:val="441370C8"/>
    <w:rsid w:val="471274C2"/>
    <w:rsid w:val="49E40E89"/>
    <w:rsid w:val="4B540AE9"/>
    <w:rsid w:val="569F03C6"/>
    <w:rsid w:val="58ED79A6"/>
    <w:rsid w:val="5D5A333D"/>
    <w:rsid w:val="5D7C78E8"/>
    <w:rsid w:val="5FE25CDC"/>
    <w:rsid w:val="62F3232E"/>
    <w:rsid w:val="63DD200F"/>
    <w:rsid w:val="640026DC"/>
    <w:rsid w:val="64DC4020"/>
    <w:rsid w:val="67836A9A"/>
    <w:rsid w:val="69EC12BA"/>
    <w:rsid w:val="6D0E70D9"/>
    <w:rsid w:val="70E85EB9"/>
    <w:rsid w:val="749B1CA3"/>
    <w:rsid w:val="7639547D"/>
    <w:rsid w:val="76DD67CB"/>
    <w:rsid w:val="7D6A78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eastAsia="楷体_GB2312" w:cs="Times New Roman"/>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F99AB-BDD9-4341-83BB-4A0F2E4EA1D1}">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11471</Words>
  <Characters>13313</Characters>
  <Lines>87</Lines>
  <Paragraphs>24</Paragraphs>
  <TotalTime>128</TotalTime>
  <ScaleCrop>false</ScaleCrop>
  <LinksUpToDate>false</LinksUpToDate>
  <CharactersWithSpaces>13410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2022-12-03T08:50:00Z</dcterms:created>
  <dc:creator>苍墨</dc:creator>
  <cp:lastModifiedBy>苍墨</cp:lastModifiedBy>
  <dcterms:modified xsi:type="dcterms:W3CDTF">2023-03-14T09:26:39Z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568E84AEAFF04C318B14159CE944B8B8</vt:lpwstr>
  </property>
</Properties>
</file>