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b/>
          <w:kern w:val="0"/>
          <w:sz w:val="32"/>
          <w:szCs w:val="32"/>
        </w:rPr>
      </w:pPr>
    </w:p>
    <w:p>
      <w:pPr>
        <w:widowControl/>
        <w:jc w:val="center"/>
        <w:rPr>
          <w:rFonts w:ascii="黑体" w:hAnsi="黑体" w:eastAsia="黑体" w:cs="黑体"/>
          <w:b/>
          <w:kern w:val="0"/>
          <w:sz w:val="52"/>
          <w:szCs w:val="52"/>
        </w:rPr>
      </w:pPr>
      <w:r>
        <w:rPr>
          <w:rFonts w:hint="eastAsia" w:ascii="黑体" w:hAnsi="黑体" w:eastAsia="黑体" w:cs="黑体"/>
          <w:b/>
          <w:kern w:val="0"/>
          <w:sz w:val="52"/>
          <w:szCs w:val="52"/>
        </w:rPr>
        <w:t>商洛市财政局</w:t>
      </w:r>
    </w:p>
    <w:p>
      <w:pPr>
        <w:widowControl/>
        <w:jc w:val="center"/>
        <w:rPr>
          <w:rFonts w:ascii="黑体" w:hAnsi="黑体" w:eastAsia="黑体" w:cs="黑体"/>
          <w:b/>
          <w:kern w:val="0"/>
          <w:sz w:val="72"/>
          <w:szCs w:val="72"/>
        </w:rPr>
      </w:pPr>
      <w:r>
        <w:rPr>
          <w:rFonts w:hint="eastAsia" w:ascii="黑体" w:hAnsi="黑体" w:eastAsia="黑体" w:cs="黑体"/>
          <w:b/>
          <w:kern w:val="0"/>
          <w:sz w:val="52"/>
          <w:szCs w:val="52"/>
        </w:rPr>
        <w:t xml:space="preserve"> 2019 年部门决算</w:t>
      </w:r>
    </w:p>
    <w:p>
      <w:pPr>
        <w:widowControl/>
        <w:jc w:val="center"/>
        <w:rPr>
          <w:rFonts w:ascii="黑体" w:hAnsi="黑体" w:eastAsia="黑体" w:cs="黑体"/>
          <w:kern w:val="0"/>
          <w:sz w:val="72"/>
          <w:szCs w:val="72"/>
        </w:rPr>
      </w:pPr>
    </w:p>
    <w:p>
      <w:pPr>
        <w:widowControl/>
        <w:jc w:val="center"/>
        <w:rPr>
          <w:rFonts w:ascii="黑体" w:hAnsi="黑体" w:eastAsia="黑体" w:cs="黑体"/>
          <w:kern w:val="0"/>
          <w:sz w:val="72"/>
          <w:szCs w:val="7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ind w:firstLine="2400" w:firstLineChars="800"/>
        <w:rPr>
          <w:rFonts w:ascii="宋体" w:hAnsi="宋体" w:eastAsia="宋体" w:cs="宋体"/>
          <w:sz w:val="30"/>
          <w:szCs w:val="30"/>
        </w:rPr>
      </w:pPr>
      <w:r>
        <w:rPr>
          <w:rFonts w:hint="eastAsia" w:ascii="宋体" w:hAnsi="宋体" w:eastAsia="宋体" w:cs="宋体"/>
          <w:sz w:val="30"/>
          <w:szCs w:val="30"/>
        </w:rPr>
        <w:t>保密审查情况：</w:t>
      </w:r>
      <w:r>
        <w:rPr>
          <w:rFonts w:hint="eastAsia" w:ascii="黑体" w:hAnsi="黑体" w:eastAsia="黑体" w:cs="宋体"/>
          <w:kern w:val="0"/>
          <w:sz w:val="30"/>
          <w:szCs w:val="30"/>
        </w:rPr>
        <w:t>已审查</w:t>
      </w:r>
    </w:p>
    <w:p>
      <w:pPr>
        <w:widowControl/>
        <w:spacing w:line="560" w:lineRule="exact"/>
        <w:ind w:firstLine="2400" w:firstLineChars="800"/>
        <w:rPr>
          <w:rFonts w:ascii="仿宋_GB2312" w:hAnsi="仿宋_GB2312" w:eastAsia="仿宋_GB2312" w:cs="仿宋_GB2312"/>
          <w:kern w:val="0"/>
          <w:sz w:val="30"/>
          <w:szCs w:val="30"/>
        </w:rPr>
      </w:pPr>
      <w:r>
        <w:rPr>
          <w:rFonts w:hint="eastAsia" w:ascii="宋体" w:hAnsi="宋体" w:eastAsia="宋体" w:cs="宋体"/>
          <w:sz w:val="30"/>
          <w:szCs w:val="30"/>
        </w:rPr>
        <w:t>部门主要负责人审签情况：</w:t>
      </w:r>
      <w:r>
        <w:rPr>
          <w:rFonts w:hint="eastAsia" w:ascii="黑体" w:hAnsi="黑体" w:eastAsia="黑体" w:cs="宋体"/>
          <w:kern w:val="0"/>
          <w:sz w:val="30"/>
          <w:szCs w:val="30"/>
        </w:rPr>
        <w:t>已审签</w:t>
      </w: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目 录</w:t>
      </w: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第一部分 部门概况</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一、部门主要职责及内设机构</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二、部门决算单位构成</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三、部门人员情况</w:t>
      </w: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第二部分 2019 年部门决算表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一、收入支出决算总表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二、收入决算总表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三、支出决算总表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四、财政拨款收入支出决算总表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七、一般公共预算财政拨款“三公”经费及会议费、培训费</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支出决算表</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第三部分 2019 年部门决算情况说明</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一、收入支出决算总体情况说明</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二、2019年度财政拨款收入支出总体情况说明</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三、2019年度“三公”经费、培训费及会议费支出情</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况说明</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四、2019年度部门绩效管理情况说明</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五、其他重要事项的情况说明</w:t>
      </w: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第四部分 专业名词解释</w:t>
      </w:r>
    </w:p>
    <w:p>
      <w:pPr>
        <w:widowControl/>
        <w:spacing w:line="560" w:lineRule="exact"/>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第一部分 部门概况</w:t>
      </w:r>
    </w:p>
    <w:p>
      <w:pPr>
        <w:widowControl/>
        <w:ind w:firstLine="640" w:firstLineChars="200"/>
        <w:rPr>
          <w:rFonts w:ascii="黑体" w:hAnsi="黑体" w:eastAsia="黑体" w:cs="黑体"/>
          <w:b/>
          <w:kern w:val="0"/>
          <w:sz w:val="32"/>
          <w:szCs w:val="32"/>
        </w:rPr>
      </w:pPr>
      <w:r>
        <w:rPr>
          <w:rFonts w:hint="eastAsia" w:ascii="黑体" w:hAnsi="黑体" w:eastAsia="黑体" w:cs="黑体"/>
          <w:b/>
          <w:kern w:val="0"/>
          <w:sz w:val="32"/>
          <w:szCs w:val="32"/>
        </w:rPr>
        <w:t>一、部门主要职责及内设机构</w:t>
      </w:r>
    </w:p>
    <w:p>
      <w:pPr>
        <w:widowControl/>
        <w:ind w:firstLine="640" w:firstLineChars="200"/>
        <w:rPr>
          <w:rFonts w:ascii="黑体" w:hAnsi="黑体" w:eastAsia="黑体" w:cs="黑体"/>
          <w:kern w:val="0"/>
          <w:sz w:val="32"/>
          <w:szCs w:val="32"/>
        </w:rPr>
      </w:pPr>
      <w:r>
        <w:rPr>
          <w:rFonts w:ascii="黑体" w:hAnsi="黑体" w:eastAsia="黑体" w:cs="黑体"/>
          <w:kern w:val="0"/>
          <w:sz w:val="32"/>
          <w:szCs w:val="32"/>
        </w:rPr>
        <w:t>（一）主要职责</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拟定全市财税发展规划、政策和改革方案并组织实施，参与制定全市宏观经济政策并提出有关政策调整、资金筹措意见；制定市对县区、商丹循环工业园区的财税政策、财政体制和转移支付制度并组织实施，完善鼓励公益事业发展的财税政策。</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（2）拟订本市财政、财务、地方税收、会计、国有资产管理等方面的地方性法规、政府规章草案。</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3）负责编制全市和市级政府预决算并向市人民代表大会报告；负责市级政府收支预算执行工作，负责市级部门预决算编制、审核批复及支出经费标准制定工作；负责全市政府预决算信息公开工作，指导县、镇财政管理工作。</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（4）负责政府非税收入管理，按规定管理行政事业性收费、政府性基金及其他非税收入；管理财政票据，研究拟订全市彩票管理政策和有关办法，按规定管理彩票市场和彩票资金。</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（5）组织制定全市国库管理制度、国库集中收付制度，指导和监督市级国库业务。按规定开展国库现金管理工作。</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（6）贯彻执行国家税收法律、行政法规和税收调整政策，研究制定本市管理权限内有关税收政策及税收政策调整方案并组织实施。</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7）负责制定全市行政事业单位国有资产管理规章制度，按规定管理市本级行政事业单位国有资产，制定需要全市统一规定的开支标准和支出政策；负责制定政府购买服务政策和相关制度；负责制定政府采购制度并监督管理。</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8）负责审核和汇总编制全市国有资本经营预决算草案，制定全市国有资本经营预算的制度和办法，负责市本级企业国有资本收入和支出管理；拟订并执行企业财务管理法规和相关制度；按规定管理资产评估工作。</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9）负责制定全市政府性资金管理制度。负责市级政府性资金的分配、拨付、监督和预算绩效管理工作；负责全市农业综合开发政策制定及资金和项目管理工作；参与制定全市投资政策，制定基本建设财务制度。</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（10）会同有关部门拟订全市社会保障资金(基金)的财务管理制度，编制全市社会保障预决算草案；管理市财政社会保障和就业及医疗卫生支出，组织协调社会保险费征收管理工作。</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（11）贯彻执行国家关于政府内外债管理的制度和政策，制定全市政府性债务管理制度和办法，负责统一管理政府内外债务；参与涉外债务等的国际谈判，按规定管理外国政府和国际金融组织贷（赠）款。</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（12）研究拟订支持金融业改革和发展的财政政策；按规定管理财政政策性金融业务；负责管理道路交通事故社会救助基金；负责地方金融机构资产和财务监管。</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（13）负责管理全市的会计工作；监督和规范会计行为；宣传贯彻国家统一的会计制度；组织实施内部控制规范、会计信息化；负责管理全市会计人员；负责注册会计师行业行政管理。</w:t>
      </w:r>
    </w:p>
    <w:p>
      <w:pPr>
        <w:pStyle w:val="9"/>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14）拟订财政监督制度办法；监督财税法规、政策的执行情况；承担财政收支预算执行、财政资金绩效、重点项目建设资金使用、会计监督检查工作；组织协调重大或专项财政监督检查，依法查处违法违规行为；负责局机关及所属单位内部监督检查工作。</w:t>
      </w:r>
    </w:p>
    <w:p>
      <w:pPr>
        <w:pStyle w:val="9"/>
        <w:widowControl w:val="0"/>
        <w:spacing w:before="0" w:beforeAutospacing="0" w:after="0" w:afterAutospacing="0" w:line="600" w:lineRule="exact"/>
        <w:ind w:firstLine="640" w:firstLineChars="200"/>
        <w:jc w:val="both"/>
        <w:rPr>
          <w:rFonts w:ascii="黑体" w:hAnsi="黑体" w:eastAsia="黑体" w:cs="黑体"/>
          <w:kern w:val="0"/>
          <w:sz w:val="32"/>
          <w:szCs w:val="32"/>
        </w:rPr>
      </w:pPr>
      <w:r>
        <w:rPr>
          <w:rFonts w:hint="eastAsia" w:ascii="仿宋_GB2312" w:eastAsia="仿宋_GB2312"/>
          <w:color w:val="000000"/>
          <w:sz w:val="32"/>
          <w:szCs w:val="32"/>
        </w:rPr>
        <w:t>（15）承办市政府交办的其他事项。</w:t>
      </w:r>
    </w:p>
    <w:p>
      <w:pPr>
        <w:widowControl/>
        <w:ind w:firstLine="640" w:firstLineChars="200"/>
        <w:rPr>
          <w:rFonts w:ascii="黑体" w:hAnsi="黑体" w:eastAsia="黑体" w:cs="黑体"/>
          <w:kern w:val="0"/>
          <w:sz w:val="32"/>
          <w:szCs w:val="32"/>
        </w:rPr>
      </w:pPr>
      <w:r>
        <w:rPr>
          <w:rFonts w:ascii="黑体" w:hAnsi="黑体" w:eastAsia="黑体" w:cs="黑体"/>
          <w:kern w:val="0"/>
          <w:sz w:val="32"/>
          <w:szCs w:val="32"/>
        </w:rPr>
        <w:t>（二）内设机构</w:t>
      </w:r>
    </w:p>
    <w:p>
      <w:pPr>
        <w:pStyle w:val="9"/>
        <w:widowControl w:val="0"/>
        <w:spacing w:before="0" w:beforeAutospacing="0" w:after="0" w:afterAutospacing="0" w:line="600" w:lineRule="exact"/>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rPr>
        <w:t>本部门包括局机关</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个科室及</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个下属单位，</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个科室分别是：（1）党政办公室；（2）</w:t>
      </w:r>
      <w:r>
        <w:rPr>
          <w:rFonts w:hint="eastAsia" w:ascii="仿宋_GB2312" w:eastAsia="仿宋_GB2312"/>
          <w:color w:val="000000"/>
          <w:sz w:val="32"/>
          <w:szCs w:val="32"/>
          <w:lang w:val="en-US" w:eastAsia="zh-CN"/>
        </w:rPr>
        <w:t>综合科</w:t>
      </w: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政策法规科</w:t>
      </w: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预算科</w:t>
      </w:r>
      <w:r>
        <w:rPr>
          <w:rFonts w:hint="eastAsia" w:ascii="仿宋_GB2312" w:eastAsia="仿宋_GB2312"/>
          <w:color w:val="000000"/>
          <w:sz w:val="32"/>
          <w:szCs w:val="32"/>
        </w:rPr>
        <w:t>；（5）国库</w:t>
      </w:r>
      <w:r>
        <w:rPr>
          <w:rFonts w:hint="eastAsia" w:ascii="仿宋_GB2312" w:eastAsia="仿宋_GB2312"/>
          <w:color w:val="000000"/>
          <w:sz w:val="32"/>
          <w:szCs w:val="32"/>
          <w:lang w:val="en-US" w:eastAsia="zh-CN"/>
        </w:rPr>
        <w:t>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）行政科；（</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）政法科；（</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）教科文科；（</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）经济建设科；（</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）农业</w:t>
      </w:r>
      <w:r>
        <w:rPr>
          <w:rFonts w:hint="eastAsia" w:ascii="仿宋_GB2312" w:eastAsia="仿宋_GB2312"/>
          <w:color w:val="000000"/>
          <w:sz w:val="32"/>
          <w:szCs w:val="32"/>
          <w:lang w:val="en-US" w:eastAsia="zh-CN"/>
        </w:rPr>
        <w:t>农村</w:t>
      </w:r>
      <w:r>
        <w:rPr>
          <w:rFonts w:hint="eastAsia" w:ascii="仿宋_GB2312" w:eastAsia="仿宋_GB2312"/>
          <w:color w:val="000000"/>
          <w:sz w:val="32"/>
          <w:szCs w:val="32"/>
        </w:rPr>
        <w:t>科；（</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w:t>
      </w:r>
      <w:r>
        <w:rPr>
          <w:rFonts w:hint="eastAsia" w:ascii="仿宋_GB2312" w:eastAsia="仿宋_GB2312"/>
          <w:color w:val="000000"/>
          <w:sz w:val="32"/>
          <w:szCs w:val="32"/>
          <w:lang w:val="en-US" w:eastAsia="zh-CN"/>
        </w:rPr>
        <w:t>会</w:t>
      </w:r>
      <w:r>
        <w:rPr>
          <w:rFonts w:hint="eastAsia" w:ascii="仿宋_GB2312" w:eastAsia="仿宋_GB2312"/>
          <w:color w:val="000000"/>
          <w:sz w:val="32"/>
          <w:szCs w:val="32"/>
        </w:rPr>
        <w:t>保</w:t>
      </w:r>
      <w:r>
        <w:rPr>
          <w:rFonts w:hint="eastAsia" w:ascii="仿宋_GB2312" w:eastAsia="仿宋_GB2312"/>
          <w:color w:val="000000"/>
          <w:sz w:val="32"/>
          <w:szCs w:val="32"/>
          <w:lang w:val="en-US" w:eastAsia="zh-CN"/>
        </w:rPr>
        <w:t>障</w:t>
      </w:r>
      <w:r>
        <w:rPr>
          <w:rFonts w:hint="eastAsia" w:ascii="仿宋_GB2312" w:eastAsia="仿宋_GB2312"/>
          <w:color w:val="000000"/>
          <w:sz w:val="32"/>
          <w:szCs w:val="32"/>
        </w:rPr>
        <w:t>科；（12）政府采购科；（</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绩效债务管理科</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14）基层财政管理科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市国有资产管理办公室；(16)市会计事务管理办公室；</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w:t>
      </w:r>
      <w:r>
        <w:rPr>
          <w:rFonts w:hint="eastAsia" w:ascii="仿宋_GB2312" w:eastAsia="仿宋_GB2312"/>
          <w:color w:val="000000"/>
          <w:sz w:val="32"/>
          <w:szCs w:val="32"/>
        </w:rPr>
        <w:t>外资</w:t>
      </w:r>
      <w:r>
        <w:rPr>
          <w:rFonts w:hint="eastAsia" w:ascii="仿宋_GB2312" w:eastAsia="仿宋_GB2312"/>
          <w:color w:val="000000"/>
          <w:sz w:val="32"/>
          <w:szCs w:val="32"/>
          <w:lang w:val="en-US" w:eastAsia="zh-CN"/>
        </w:rPr>
        <w:t>财务管理办公室</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市企业财务管理办公室</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w:t>
      </w:r>
      <w:r>
        <w:rPr>
          <w:rFonts w:hint="eastAsia" w:ascii="仿宋_GB2312" w:eastAsia="仿宋_GB2312"/>
          <w:color w:val="000000"/>
          <w:sz w:val="32"/>
          <w:szCs w:val="32"/>
        </w:rPr>
        <w:t>财源</w:t>
      </w:r>
      <w:r>
        <w:rPr>
          <w:rFonts w:hint="eastAsia" w:ascii="仿宋_GB2312" w:eastAsia="仿宋_GB2312"/>
          <w:color w:val="000000"/>
          <w:sz w:val="32"/>
          <w:szCs w:val="32"/>
          <w:lang w:val="en-US" w:eastAsia="zh-CN"/>
        </w:rPr>
        <w:t>建设</w:t>
      </w:r>
      <w:r>
        <w:rPr>
          <w:rFonts w:hint="eastAsia" w:ascii="仿宋_GB2312" w:eastAsia="仿宋_GB2312"/>
          <w:color w:val="000000"/>
          <w:sz w:val="32"/>
          <w:szCs w:val="32"/>
        </w:rPr>
        <w:t>办</w:t>
      </w:r>
      <w:r>
        <w:rPr>
          <w:rFonts w:hint="eastAsia" w:ascii="仿宋_GB2312" w:eastAsia="仿宋_GB2312"/>
          <w:color w:val="000000"/>
          <w:sz w:val="32"/>
          <w:szCs w:val="32"/>
          <w:lang w:val="en-US" w:eastAsia="zh-CN"/>
        </w:rPr>
        <w:t>公室</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20）市国库集中支付办公室；</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市财政局</w:t>
      </w:r>
      <w:r>
        <w:rPr>
          <w:rFonts w:hint="eastAsia" w:ascii="仿宋_GB2312" w:eastAsia="仿宋_GB2312"/>
          <w:color w:val="000000"/>
          <w:sz w:val="32"/>
          <w:szCs w:val="32"/>
        </w:rPr>
        <w:t>信息中心；（</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市财政局</w:t>
      </w:r>
      <w:r>
        <w:rPr>
          <w:rFonts w:hint="eastAsia" w:ascii="仿宋_GB2312" w:eastAsia="仿宋_GB2312"/>
          <w:color w:val="000000"/>
          <w:sz w:val="32"/>
          <w:szCs w:val="32"/>
        </w:rPr>
        <w:t>机关</w:t>
      </w:r>
      <w:r>
        <w:rPr>
          <w:rFonts w:hint="eastAsia" w:ascii="仿宋_GB2312" w:eastAsia="仿宋_GB2312"/>
          <w:color w:val="000000"/>
          <w:sz w:val="32"/>
          <w:szCs w:val="32"/>
          <w:lang w:val="en-US" w:eastAsia="zh-CN"/>
        </w:rPr>
        <w:t>后勤</w:t>
      </w:r>
      <w:r>
        <w:rPr>
          <w:rFonts w:hint="eastAsia" w:ascii="仿宋_GB2312" w:eastAsia="仿宋_GB2312"/>
          <w:color w:val="000000"/>
          <w:sz w:val="32"/>
          <w:szCs w:val="32"/>
        </w:rPr>
        <w:t>事务所</w:t>
      </w:r>
      <w:r>
        <w:rPr>
          <w:rFonts w:hint="eastAsia" w:ascii="仿宋_GB2312" w:eastAsia="仿宋_GB2312"/>
          <w:color w:val="000000"/>
          <w:sz w:val="32"/>
          <w:szCs w:val="32"/>
          <w:lang w:eastAsia="zh-CN"/>
        </w:rPr>
        <w:t>。</w:t>
      </w:r>
    </w:p>
    <w:p>
      <w:pPr>
        <w:pStyle w:val="9"/>
        <w:widowControl w:val="0"/>
        <w:spacing w:before="0" w:beforeAutospacing="0" w:after="0" w:afterAutospacing="0" w:line="600" w:lineRule="exact"/>
        <w:ind w:firstLine="640" w:firstLineChars="200"/>
        <w:jc w:val="both"/>
        <w:rPr>
          <w:rFonts w:ascii="黑体" w:hAnsi="黑体" w:eastAsia="黑体" w:cs="黑体"/>
          <w:kern w:val="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下属单位分别是：（1）商洛市财政资金绩效管理局；（2）商洛市非税收入管理局；（3）商洛市政府采购中心；（4）商洛市市级机关会计核算中心；（5）商洛市市本级工资发放中心；（6）商洛市财政监督检查处；（7）商洛市财政投资评审中心；（8）中华会计函授学校商洛分校。</w:t>
      </w:r>
    </w:p>
    <w:p>
      <w:pPr>
        <w:widowControl/>
        <w:ind w:firstLine="640" w:firstLineChars="200"/>
        <w:rPr>
          <w:rFonts w:ascii="黑体" w:hAnsi="黑体" w:eastAsia="黑体" w:cs="黑体"/>
          <w:b/>
          <w:kern w:val="0"/>
          <w:sz w:val="32"/>
          <w:szCs w:val="32"/>
        </w:rPr>
      </w:pPr>
      <w:r>
        <w:rPr>
          <w:rFonts w:ascii="黑体" w:hAnsi="黑体" w:eastAsia="黑体" w:cs="黑体"/>
          <w:b/>
          <w:kern w:val="0"/>
          <w:sz w:val="32"/>
          <w:szCs w:val="32"/>
        </w:rPr>
        <w:t>二、部门决算单位构成</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纳入本部门2019年部门决算编制范围的单位包</w:t>
      </w:r>
      <w:r>
        <w:rPr>
          <w:rFonts w:hint="eastAsia" w:ascii="仿宋" w:hAnsi="仿宋" w:eastAsia="仿宋" w:cs="仿宋_GB2312"/>
          <w:kern w:val="0"/>
          <w:sz w:val="32"/>
          <w:szCs w:val="32"/>
        </w:rPr>
        <w:br w:type="textWrapping"/>
      </w:r>
      <w:r>
        <w:rPr>
          <w:rFonts w:hint="eastAsia" w:ascii="仿宋" w:hAnsi="仿宋" w:eastAsia="仿宋" w:cs="仿宋_GB2312"/>
          <w:kern w:val="0"/>
          <w:sz w:val="32"/>
          <w:szCs w:val="32"/>
        </w:rPr>
        <w:t>括本级及所属9个下级单位：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序号</w:t>
            </w:r>
          </w:p>
        </w:tc>
        <w:tc>
          <w:tcPr>
            <w:tcW w:w="661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1</w:t>
            </w:r>
          </w:p>
        </w:tc>
        <w:tc>
          <w:tcPr>
            <w:tcW w:w="6616" w:type="dxa"/>
          </w:tcPr>
          <w:p>
            <w:pPr>
              <w:widowControl/>
              <w:jc w:val="left"/>
              <w:rPr>
                <w:rFonts w:ascii="仿宋" w:hAnsi="仿宋" w:eastAsia="仿宋" w:cs="仿宋_GB2312"/>
                <w:kern w:val="0"/>
                <w:sz w:val="28"/>
                <w:szCs w:val="28"/>
              </w:rPr>
            </w:pPr>
            <w:r>
              <w:rPr>
                <w:rFonts w:hint="eastAsia" w:ascii="仿宋" w:hAnsi="仿宋" w:eastAsia="仿宋" w:cs="仿宋_GB2312"/>
                <w:kern w:val="0"/>
                <w:sz w:val="28"/>
                <w:szCs w:val="28"/>
              </w:rPr>
              <w:t>商洛市财政局（机关）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2</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商洛市财政资金绩效管理局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3</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商洛市非税收入管理局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4</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5</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商洛市市级机关会计核算中心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6</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商洛市市本级工资发放中心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7</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商洛市财政监督检查处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8</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商洛市财政投资评审中心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jc w:val="center"/>
              <w:rPr>
                <w:rFonts w:ascii="仿宋" w:hAnsi="仿宋" w:eastAsia="仿宋" w:cs="仿宋_GB2312"/>
                <w:kern w:val="0"/>
                <w:sz w:val="28"/>
                <w:szCs w:val="28"/>
              </w:rPr>
            </w:pPr>
            <w:r>
              <w:rPr>
                <w:rFonts w:hint="eastAsia" w:ascii="仿宋" w:hAnsi="仿宋" w:eastAsia="仿宋" w:cs="仿宋_GB2312"/>
                <w:kern w:val="0"/>
                <w:sz w:val="28"/>
                <w:szCs w:val="28"/>
              </w:rPr>
              <w:t>9</w:t>
            </w:r>
          </w:p>
        </w:tc>
        <w:tc>
          <w:tcPr>
            <w:tcW w:w="6616"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中华会计函授学校商洛分校</w:t>
            </w:r>
          </w:p>
        </w:tc>
      </w:tr>
    </w:tbl>
    <w:p>
      <w:pPr>
        <w:widowControl/>
        <w:ind w:firstLine="640" w:firstLineChars="200"/>
        <w:rPr>
          <w:rFonts w:ascii="黑体" w:hAnsi="黑体" w:eastAsia="黑体" w:cs="黑体"/>
          <w:b/>
          <w:kern w:val="0"/>
          <w:sz w:val="32"/>
          <w:szCs w:val="32"/>
        </w:rPr>
      </w:pPr>
      <w:r>
        <w:rPr>
          <w:rFonts w:ascii="黑体" w:hAnsi="黑体" w:eastAsia="黑体" w:cs="黑体"/>
          <w:b/>
          <w:kern w:val="0"/>
          <w:sz w:val="32"/>
          <w:szCs w:val="32"/>
        </w:rPr>
        <w:t>三、部门人员情况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截止2019年底,本部门人员编制162人,其中,行政编制27人,事业编制135人;实有人员148人,其中,行政27人,事业121人,单位管理的离退休人员0人。</w:t>
      </w:r>
    </w:p>
    <w:p>
      <w:pPr>
        <w:widowControl/>
        <w:ind w:firstLine="640" w:firstLineChars="200"/>
        <w:rPr>
          <w:rFonts w:ascii="黑体" w:hAnsi="黑体" w:eastAsia="黑体" w:cs="黑体"/>
          <w:b/>
          <w:kern w:val="0"/>
          <w:sz w:val="32"/>
          <w:szCs w:val="32"/>
        </w:rPr>
      </w:pPr>
    </w:p>
    <w:p>
      <w:pPr>
        <w:widowControl/>
        <w:ind w:firstLine="640" w:firstLineChars="200"/>
        <w:rPr>
          <w:rFonts w:ascii="黑体" w:hAnsi="黑体" w:eastAsia="黑体" w:cs="黑体"/>
          <w:b/>
          <w:kern w:val="0"/>
          <w:sz w:val="32"/>
          <w:szCs w:val="32"/>
        </w:rPr>
      </w:pPr>
      <w:r>
        <w:rPr>
          <w:rFonts w:hint="eastAsia" w:ascii="黑体" w:hAnsi="黑体" w:eastAsia="黑体" w:cs="黑体"/>
          <w:b/>
          <w:kern w:val="0"/>
          <w:sz w:val="32"/>
          <w:szCs w:val="32"/>
        </w:rPr>
        <w:drawing>
          <wp:anchor distT="0" distB="0" distL="0" distR="0" simplePos="0" relativeHeight="251659264" behindDoc="0" locked="0" layoutInCell="1" allowOverlap="1">
            <wp:simplePos x="0" y="0"/>
            <wp:positionH relativeFrom="column">
              <wp:posOffset>328295</wp:posOffset>
            </wp:positionH>
            <wp:positionV relativeFrom="paragraph">
              <wp:posOffset>-17780</wp:posOffset>
            </wp:positionV>
            <wp:extent cx="3895725" cy="2599690"/>
            <wp:effectExtent l="0" t="0" r="0" b="0"/>
            <wp:wrapNone/>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ind w:firstLine="640" w:firstLineChars="200"/>
        <w:rPr>
          <w:rFonts w:ascii="黑体" w:hAnsi="黑体" w:eastAsia="黑体" w:cs="黑体"/>
          <w:b/>
          <w:kern w:val="0"/>
          <w:sz w:val="32"/>
          <w:szCs w:val="32"/>
        </w:rPr>
      </w:pPr>
    </w:p>
    <w:p>
      <w:pPr>
        <w:widowControl/>
        <w:ind w:firstLine="640" w:firstLineChars="200"/>
        <w:rPr>
          <w:rFonts w:ascii="黑体" w:hAnsi="黑体" w:eastAsia="黑体" w:cs="黑体"/>
          <w:b/>
          <w:kern w:val="0"/>
          <w:sz w:val="32"/>
          <w:szCs w:val="32"/>
        </w:rPr>
      </w:pPr>
    </w:p>
    <w:p>
      <w:pPr>
        <w:widowControl/>
        <w:ind w:firstLine="640" w:firstLineChars="200"/>
        <w:rPr>
          <w:rFonts w:ascii="黑体" w:hAnsi="黑体" w:eastAsia="黑体" w:cs="黑体"/>
          <w:b/>
          <w:kern w:val="0"/>
          <w:sz w:val="32"/>
          <w:szCs w:val="32"/>
        </w:rPr>
      </w:pPr>
    </w:p>
    <w:p>
      <w:pPr>
        <w:widowControl/>
        <w:ind w:firstLine="640" w:firstLineChars="200"/>
        <w:rPr>
          <w:rFonts w:ascii="黑体" w:hAnsi="黑体" w:eastAsia="黑体" w:cs="黑体"/>
          <w:b/>
          <w:kern w:val="0"/>
          <w:sz w:val="32"/>
          <w:szCs w:val="32"/>
        </w:rPr>
      </w:pPr>
    </w:p>
    <w:p>
      <w:pPr>
        <w:widowControl/>
        <w:ind w:firstLine="640" w:firstLineChars="200"/>
        <w:rPr>
          <w:rFonts w:ascii="黑体" w:hAnsi="黑体" w:eastAsia="黑体" w:cs="黑体"/>
          <w:b/>
          <w:kern w:val="0"/>
          <w:sz w:val="32"/>
          <w:szCs w:val="32"/>
        </w:rPr>
      </w:pPr>
    </w:p>
    <w:p>
      <w:pPr>
        <w:widowControl/>
        <w:ind w:firstLine="640" w:firstLineChars="200"/>
        <w:rPr>
          <w:rFonts w:hint="eastAsia" w:ascii="仿宋_GB2312" w:hAnsi="仿宋_GB2312" w:eastAsia="仿宋_GB2312" w:cs="仿宋_GB2312"/>
          <w:kern w:val="0"/>
          <w:sz w:val="32"/>
          <w:szCs w:val="32"/>
        </w:rPr>
      </w:pPr>
    </w:p>
    <w:p>
      <w:pPr>
        <w:widowControl/>
        <w:ind w:firstLine="640" w:firstLineChars="200"/>
        <w:rPr>
          <w:rFonts w:hint="eastAsia" w:ascii="仿宋_GB2312" w:hAnsi="仿宋_GB2312" w:eastAsia="仿宋_GB2312" w:cs="仿宋_GB2312"/>
          <w:kern w:val="0"/>
          <w:sz w:val="32"/>
          <w:szCs w:val="32"/>
        </w:rPr>
      </w:pPr>
    </w:p>
    <w:p>
      <w:pPr>
        <w:widowControl/>
        <w:ind w:firstLine="640" w:firstLineChars="200"/>
        <w:rPr>
          <w:rFonts w:hint="eastAsia" w:ascii="仿宋_GB2312" w:hAnsi="仿宋_GB2312" w:eastAsia="仿宋_GB2312" w:cs="仿宋_GB2312"/>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p>
      <w:pPr>
        <w:widowControl/>
        <w:jc w:val="center"/>
        <w:rPr>
          <w:rFonts w:hint="eastAsia" w:ascii="黑体" w:hAnsi="黑体" w:eastAsia="黑体" w:cs="黑体"/>
          <w:kern w:val="0"/>
          <w:sz w:val="32"/>
          <w:szCs w:val="32"/>
        </w:rPr>
      </w:pPr>
    </w:p>
    <w:tbl>
      <w:tblPr>
        <w:tblStyle w:val="5"/>
        <w:tblW w:w="9193" w:type="dxa"/>
        <w:tblInd w:w="93" w:type="dxa"/>
        <w:tblLayout w:type="autofit"/>
        <w:tblCellMar>
          <w:top w:w="0" w:type="dxa"/>
          <w:left w:w="108" w:type="dxa"/>
          <w:bottom w:w="0" w:type="dxa"/>
          <w:right w:w="108" w:type="dxa"/>
        </w:tblCellMar>
      </w:tblPr>
      <w:tblGrid>
        <w:gridCol w:w="938"/>
        <w:gridCol w:w="5350"/>
        <w:gridCol w:w="771"/>
        <w:gridCol w:w="2134"/>
      </w:tblGrid>
      <w:tr>
        <w:tblPrEx>
          <w:tblCellMar>
            <w:top w:w="0" w:type="dxa"/>
            <w:left w:w="108" w:type="dxa"/>
            <w:bottom w:w="0" w:type="dxa"/>
            <w:right w:w="108" w:type="dxa"/>
          </w:tblCellMar>
        </w:tblPrEx>
        <w:trPr>
          <w:trHeight w:val="180" w:hRule="atLeast"/>
        </w:trPr>
        <w:tc>
          <w:tcPr>
            <w:tcW w:w="93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bookmarkStart w:id="8" w:name="_GoBack"/>
            <w:bookmarkEnd w:id="8"/>
          </w:p>
        </w:tc>
        <w:tc>
          <w:tcPr>
            <w:tcW w:w="535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77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213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225" w:hRule="atLeast"/>
        </w:trPr>
        <w:tc>
          <w:tcPr>
            <w:tcW w:w="93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535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77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13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atLeast"/>
        </w:trPr>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5350" w:type="dxa"/>
            <w:tcBorders>
              <w:top w:val="single" w:color="auto" w:sz="4" w:space="0"/>
              <w:left w:val="nil"/>
              <w:bottom w:val="single" w:color="auto" w:sz="4" w:space="0"/>
              <w:right w:val="nil"/>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公开表名称</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是否空表</w:t>
            </w:r>
          </w:p>
        </w:tc>
        <w:tc>
          <w:tcPr>
            <w:tcW w:w="2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公开空表理由</w:t>
            </w:r>
          </w:p>
        </w:tc>
      </w:tr>
      <w:tr>
        <w:tblPrEx>
          <w:tblCellMar>
            <w:top w:w="0" w:type="dxa"/>
            <w:left w:w="108" w:type="dxa"/>
            <w:bottom w:w="0" w:type="dxa"/>
            <w:right w:w="108" w:type="dxa"/>
          </w:tblCellMar>
        </w:tblPrEx>
        <w:trPr>
          <w:trHeight w:val="521"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表1</w:t>
            </w:r>
          </w:p>
        </w:tc>
        <w:tc>
          <w:tcPr>
            <w:tcW w:w="53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收入支出决算总表</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59"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表2</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收入决算总表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97"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表3</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支出决算总表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49"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表4</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财政拨款收入支出决算总表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29"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表5</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一般公共预算财政拨款支出决算表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618" w:hRule="atLeast"/>
        </w:trPr>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表6</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一般公共预算财政拨款支出决算表基本支出决算表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16" w:hRule="atLeast"/>
        </w:trPr>
        <w:tc>
          <w:tcPr>
            <w:tcW w:w="938" w:type="dxa"/>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表7</w:t>
            </w:r>
          </w:p>
        </w:tc>
        <w:tc>
          <w:tcPr>
            <w:tcW w:w="535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一般公共预算财政拨款“三公”经费及会议费、培训费支出决算表</w:t>
            </w:r>
          </w:p>
        </w:tc>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否</w:t>
            </w:r>
          </w:p>
        </w:tc>
        <w:tc>
          <w:tcPr>
            <w:tcW w:w="2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65" w:hRule="atLeast"/>
        </w:trPr>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表8</w:t>
            </w:r>
          </w:p>
        </w:tc>
        <w:tc>
          <w:tcPr>
            <w:tcW w:w="53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政府性基金预算财政拨款收入支出决算表</w:t>
            </w:r>
          </w:p>
        </w:tc>
        <w:tc>
          <w:tcPr>
            <w:tcW w:w="77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w:t>
            </w:r>
          </w:p>
        </w:tc>
        <w:tc>
          <w:tcPr>
            <w:tcW w:w="2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无政府性基金收支</w:t>
            </w:r>
          </w:p>
        </w:tc>
      </w:tr>
    </w:tbl>
    <w:p>
      <w:pPr>
        <w:widowControl/>
        <w:jc w:val="center"/>
        <w:rPr>
          <w:rFonts w:ascii="黑体" w:hAnsi="黑体" w:eastAsia="黑体" w:cs="黑体"/>
          <w:kern w:val="0"/>
          <w:sz w:val="32"/>
          <w:szCs w:val="32"/>
        </w:rPr>
      </w:pPr>
    </w:p>
    <w:tbl>
      <w:tblPr>
        <w:tblStyle w:val="5"/>
        <w:tblW w:w="8946" w:type="dxa"/>
        <w:tblInd w:w="93" w:type="dxa"/>
        <w:tblLayout w:type="autofit"/>
        <w:tblCellMar>
          <w:top w:w="0" w:type="dxa"/>
          <w:left w:w="108" w:type="dxa"/>
          <w:bottom w:w="0" w:type="dxa"/>
          <w:right w:w="108" w:type="dxa"/>
        </w:tblCellMar>
      </w:tblPr>
      <w:tblGrid>
        <w:gridCol w:w="3417"/>
        <w:gridCol w:w="346"/>
        <w:gridCol w:w="930"/>
        <w:gridCol w:w="2977"/>
        <w:gridCol w:w="427"/>
        <w:gridCol w:w="849"/>
      </w:tblGrid>
      <w:tr>
        <w:tblPrEx>
          <w:tblCellMar>
            <w:top w:w="0" w:type="dxa"/>
            <w:left w:w="108" w:type="dxa"/>
            <w:bottom w:w="0" w:type="dxa"/>
            <w:right w:w="108" w:type="dxa"/>
          </w:tblCellMar>
        </w:tblPrEx>
        <w:trPr>
          <w:trHeight w:val="450" w:hRule="atLeast"/>
        </w:trPr>
        <w:tc>
          <w:tcPr>
            <w:tcW w:w="8946" w:type="dxa"/>
            <w:gridSpan w:val="6"/>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0" w:name="RANGE!A1:D34"/>
            <w:r>
              <w:rPr>
                <w:rFonts w:hint="eastAsia" w:ascii="方正小标宋简体" w:hAnsi="宋体" w:eastAsia="方正小标宋简体" w:cs="宋体"/>
                <w:b/>
                <w:kern w:val="0"/>
                <w:sz w:val="24"/>
              </w:rPr>
              <w:t>收入支出决算总表</w:t>
            </w:r>
            <w:bookmarkEnd w:id="0"/>
          </w:p>
        </w:tc>
      </w:tr>
      <w:tr>
        <w:tblPrEx>
          <w:tblCellMar>
            <w:top w:w="0" w:type="dxa"/>
            <w:left w:w="108" w:type="dxa"/>
            <w:bottom w:w="0" w:type="dxa"/>
            <w:right w:w="108" w:type="dxa"/>
          </w:tblCellMar>
        </w:tblPrEx>
        <w:trPr>
          <w:trHeight w:val="270" w:hRule="atLeast"/>
        </w:trPr>
        <w:tc>
          <w:tcPr>
            <w:tcW w:w="3763"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930"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3404"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849"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01表</w:t>
            </w:r>
          </w:p>
        </w:tc>
      </w:tr>
      <w:tr>
        <w:tblPrEx>
          <w:tblCellMar>
            <w:top w:w="0" w:type="dxa"/>
            <w:left w:w="108" w:type="dxa"/>
            <w:bottom w:w="0" w:type="dxa"/>
            <w:right w:w="108" w:type="dxa"/>
          </w:tblCellMar>
        </w:tblPrEx>
        <w:trPr>
          <w:trHeight w:val="315" w:hRule="atLeast"/>
        </w:trPr>
        <w:tc>
          <w:tcPr>
            <w:tcW w:w="4693"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3404"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849"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tblPrEx>
          <w:tblCellMar>
            <w:top w:w="0" w:type="dxa"/>
            <w:left w:w="108" w:type="dxa"/>
            <w:bottom w:w="0" w:type="dxa"/>
            <w:right w:w="108" w:type="dxa"/>
          </w:tblCellMar>
        </w:tblPrEx>
        <w:trPr>
          <w:trHeight w:val="540" w:hRule="atLeast"/>
        </w:trPr>
        <w:tc>
          <w:tcPr>
            <w:tcW w:w="469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425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r>
      <w:tr>
        <w:tblPrEx>
          <w:tblCellMar>
            <w:top w:w="0" w:type="dxa"/>
            <w:left w:w="108" w:type="dxa"/>
            <w:bottom w:w="0" w:type="dxa"/>
            <w:right w:w="108" w:type="dxa"/>
          </w:tblCellMar>
        </w:tblPrEx>
        <w:trPr>
          <w:trHeight w:val="48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决算数</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决算数</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1、财政拨款收入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3,450.03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1、一般公共服务支出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2,946.36</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其中：一般公共预算财政拨款</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3,450.03</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2、外交支出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3、国防支出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国有资本经营预算财政拨款</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4、公共安全支出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2、上级补助收入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5、教育支出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3、事业收入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6、科学技术支出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其中：纳入财政专户管理的收费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7、文化体育与传媒支出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4、经营收入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8、社会保障和就业支出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201.91</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5、附属单位上缴收入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9、医疗卫生与计划生育支出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6、其他收入</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140.75</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10、节能环保支出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11、城乡社区支出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12、农林水支出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13、交通运输支出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14、资源勘探信息等支出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15、商业服务业等支出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16、金融支出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17、援助其他地区支出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18、国土海洋气象等支出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19、住房保障支出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20、粮油物资储备支出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21、其他支出</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77.15</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276"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3,590.78</w:t>
            </w:r>
          </w:p>
        </w:tc>
        <w:tc>
          <w:tcPr>
            <w:tcW w:w="297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3,250.55</w:t>
            </w:r>
          </w:p>
        </w:tc>
      </w:tr>
      <w:tr>
        <w:tblPrEx>
          <w:tblCellMar>
            <w:top w:w="0" w:type="dxa"/>
            <w:left w:w="108" w:type="dxa"/>
            <w:bottom w:w="0" w:type="dxa"/>
            <w:right w:w="108" w:type="dxa"/>
          </w:tblCellMar>
        </w:tblPrEx>
        <w:trPr>
          <w:trHeight w:val="390" w:hRule="atLeast"/>
        </w:trPr>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用事业基金弥补收支差额</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结余分配 </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年初结转和结余</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414.91</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xml:space="preserve">    年末结转和结余</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755.14</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276" w:type="dxa"/>
            <w:gridSpan w:val="2"/>
            <w:tcBorders>
              <w:top w:val="nil"/>
              <w:left w:val="nil"/>
              <w:bottom w:val="single" w:color="000000"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1276"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4,005.69</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支出总计</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4,005.69</w:t>
            </w:r>
          </w:p>
        </w:tc>
      </w:tr>
      <w:tr>
        <w:tblPrEx>
          <w:tblCellMar>
            <w:top w:w="0" w:type="dxa"/>
            <w:left w:w="108" w:type="dxa"/>
            <w:bottom w:w="0" w:type="dxa"/>
            <w:right w:w="108" w:type="dxa"/>
          </w:tblCellMar>
        </w:tblPrEx>
        <w:trPr>
          <w:trHeight w:val="405" w:hRule="atLeast"/>
        </w:trPr>
        <w:tc>
          <w:tcPr>
            <w:tcW w:w="8946" w:type="dxa"/>
            <w:gridSpan w:val="6"/>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bl>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tbl>
      <w:tblPr>
        <w:tblStyle w:val="5"/>
        <w:tblW w:w="9193" w:type="dxa"/>
        <w:tblInd w:w="93" w:type="dxa"/>
        <w:tblLayout w:type="autofit"/>
        <w:tblCellMar>
          <w:top w:w="0" w:type="dxa"/>
          <w:left w:w="108" w:type="dxa"/>
          <w:bottom w:w="0" w:type="dxa"/>
          <w:right w:w="108" w:type="dxa"/>
        </w:tblCellMar>
      </w:tblPr>
      <w:tblGrid>
        <w:gridCol w:w="915"/>
        <w:gridCol w:w="93"/>
        <w:gridCol w:w="1986"/>
        <w:gridCol w:w="1451"/>
        <w:gridCol w:w="1089"/>
        <w:gridCol w:w="216"/>
        <w:gridCol w:w="224"/>
        <w:gridCol w:w="243"/>
        <w:gridCol w:w="676"/>
        <w:gridCol w:w="634"/>
        <w:gridCol w:w="850"/>
        <w:gridCol w:w="816"/>
      </w:tblGrid>
      <w:tr>
        <w:tblPrEx>
          <w:tblCellMar>
            <w:top w:w="0" w:type="dxa"/>
            <w:left w:w="108" w:type="dxa"/>
            <w:bottom w:w="0" w:type="dxa"/>
            <w:right w:w="108" w:type="dxa"/>
          </w:tblCellMar>
        </w:tblPrEx>
        <w:trPr>
          <w:trHeight w:val="585" w:hRule="atLeast"/>
        </w:trPr>
        <w:tc>
          <w:tcPr>
            <w:tcW w:w="9193" w:type="dxa"/>
            <w:gridSpan w:val="1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1" w:name="RANGE!A1:K38"/>
            <w:r>
              <w:rPr>
                <w:rFonts w:hint="eastAsia" w:ascii="方正小标宋简体" w:hAnsi="宋体" w:eastAsia="方正小标宋简体" w:cs="宋体"/>
                <w:b/>
                <w:kern w:val="0"/>
                <w:sz w:val="24"/>
              </w:rPr>
              <w:t>收入决算总表</w:t>
            </w:r>
            <w:bookmarkEnd w:id="1"/>
          </w:p>
        </w:tc>
      </w:tr>
      <w:tr>
        <w:tblPrEx>
          <w:tblCellMar>
            <w:top w:w="0" w:type="dxa"/>
            <w:left w:w="108" w:type="dxa"/>
            <w:bottom w:w="0" w:type="dxa"/>
            <w:right w:w="108" w:type="dxa"/>
          </w:tblCellMar>
        </w:tblPrEx>
        <w:trPr>
          <w:trHeight w:val="225" w:hRule="atLeast"/>
        </w:trPr>
        <w:tc>
          <w:tcPr>
            <w:tcW w:w="91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3530"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305"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2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4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7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63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85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816"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02表</w:t>
            </w:r>
          </w:p>
        </w:tc>
      </w:tr>
      <w:tr>
        <w:tblPrEx>
          <w:tblCellMar>
            <w:top w:w="0" w:type="dxa"/>
            <w:left w:w="108" w:type="dxa"/>
            <w:bottom w:w="0" w:type="dxa"/>
            <w:right w:w="108" w:type="dxa"/>
          </w:tblCellMar>
        </w:tblPrEx>
        <w:trPr>
          <w:trHeight w:val="330" w:hRule="atLeast"/>
        </w:trPr>
        <w:tc>
          <w:tcPr>
            <w:tcW w:w="4445"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1305"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22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243"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676"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63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850"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816"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tblPrEx>
          <w:tblCellMar>
            <w:top w:w="0" w:type="dxa"/>
            <w:left w:w="108" w:type="dxa"/>
            <w:bottom w:w="0" w:type="dxa"/>
            <w:right w:w="108" w:type="dxa"/>
          </w:tblCellMar>
        </w:tblPrEx>
        <w:trPr>
          <w:trHeight w:val="390" w:hRule="atLeast"/>
        </w:trPr>
        <w:tc>
          <w:tcPr>
            <w:tcW w:w="299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1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财政拨款收入</w:t>
            </w:r>
          </w:p>
        </w:tc>
        <w:tc>
          <w:tcPr>
            <w:tcW w:w="68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上级补助收入</w:t>
            </w:r>
          </w:p>
        </w:tc>
        <w:tc>
          <w:tcPr>
            <w:tcW w:w="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事业收入</w:t>
            </w:r>
          </w:p>
        </w:tc>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经营收入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附属单位上缴收入</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其他收入</w:t>
            </w:r>
          </w:p>
        </w:tc>
      </w:tr>
      <w:tr>
        <w:trPr>
          <w:trHeight w:val="567" w:hRule="atLeast"/>
        </w:trPr>
        <w:tc>
          <w:tcPr>
            <w:tcW w:w="915"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2079" w:type="dxa"/>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02" w:hRule="atLeast"/>
        </w:trPr>
        <w:tc>
          <w:tcPr>
            <w:tcW w:w="29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3,590.78</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3,450.03</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140.75</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一般公共服务支出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3,211.23</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3,070.48</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140.75</w:t>
            </w:r>
          </w:p>
        </w:tc>
      </w:tr>
      <w:tr>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财政事务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3,211.23</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3,070.48</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140.75</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行政运行</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2,007.52</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1,977.32</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30.20</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2010602</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一般行政管理事务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458.00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458.00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2010607</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信息化建设</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263.60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263.60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2010650</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事业运行</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230.25</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185.60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44.65</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2010699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其他财政事务支出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251.86</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185.96</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65.90</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公共安全支出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47.00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47.00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20402</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公安</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2040221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特别业务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20499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其他公共安全支出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2049901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其他公共安全支出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社会保障和就业支出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231.94</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231.94</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行政事业单位离退休</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216.94</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216.94</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198.70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198.70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机关事业单位职业年金缴费支出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18.24</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18.24</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2089901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农林水支出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50.61</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50.61</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21303</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29.21</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29.21</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2130399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其他水利支出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29.21</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29.21</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21305</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扶贫</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其他扶贫支出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21308</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普惠金融发展支出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11.40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11.40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2130899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其他普惠金融发展支出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11.40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11.40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自然资源海洋气象等支出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22001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自然资源事务</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2200199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其他自然资源事务支出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22999</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100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2299901</w:t>
            </w:r>
          </w:p>
        </w:tc>
        <w:tc>
          <w:tcPr>
            <w:tcW w:w="1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其他支出</w:t>
            </w:r>
          </w:p>
        </w:tc>
        <w:tc>
          <w:tcPr>
            <w:tcW w:w="14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0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68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5" w:hRule="atLeast"/>
        </w:trPr>
        <w:tc>
          <w:tcPr>
            <w:tcW w:w="9193" w:type="dxa"/>
            <w:gridSpan w:val="12"/>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注：本表反映部门本年度取得的各项收入情况。</w:t>
            </w:r>
          </w:p>
        </w:tc>
      </w:tr>
    </w:tbl>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pPr>
    </w:p>
    <w:tbl>
      <w:tblPr>
        <w:tblStyle w:val="5"/>
        <w:tblW w:w="9821" w:type="dxa"/>
        <w:tblInd w:w="93" w:type="dxa"/>
        <w:tblLayout w:type="autofit"/>
        <w:tblCellMar>
          <w:top w:w="0" w:type="dxa"/>
          <w:left w:w="108" w:type="dxa"/>
          <w:bottom w:w="0" w:type="dxa"/>
          <w:right w:w="108" w:type="dxa"/>
        </w:tblCellMar>
      </w:tblPr>
      <w:tblGrid>
        <w:gridCol w:w="940"/>
        <w:gridCol w:w="1739"/>
        <w:gridCol w:w="1096"/>
        <w:gridCol w:w="266"/>
        <w:gridCol w:w="1020"/>
        <w:gridCol w:w="1020"/>
        <w:gridCol w:w="585"/>
        <w:gridCol w:w="495"/>
        <w:gridCol w:w="601"/>
        <w:gridCol w:w="119"/>
        <w:gridCol w:w="629"/>
        <w:gridCol w:w="359"/>
        <w:gridCol w:w="675"/>
        <w:gridCol w:w="420"/>
      </w:tblGrid>
      <w:tr>
        <w:tblPrEx>
          <w:tblCellMar>
            <w:top w:w="0" w:type="dxa"/>
            <w:left w:w="108" w:type="dxa"/>
            <w:bottom w:w="0" w:type="dxa"/>
            <w:right w:w="108" w:type="dxa"/>
          </w:tblCellMar>
        </w:tblPrEx>
        <w:trPr>
          <w:gridAfter w:val="1"/>
          <w:wAfter w:w="420" w:type="dxa"/>
          <w:trHeight w:val="705" w:hRule="atLeast"/>
        </w:trPr>
        <w:tc>
          <w:tcPr>
            <w:tcW w:w="9401" w:type="dxa"/>
            <w:gridSpan w:val="1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2" w:name="RANGE!A1:H31"/>
            <w:r>
              <w:rPr>
                <w:rFonts w:hint="eastAsia" w:ascii="方正小标宋简体" w:hAnsi="宋体" w:eastAsia="方正小标宋简体" w:cs="宋体"/>
                <w:b/>
                <w:kern w:val="0"/>
                <w:sz w:val="24"/>
              </w:rPr>
              <w:t>支出决算总表</w:t>
            </w:r>
            <w:bookmarkEnd w:id="2"/>
          </w:p>
        </w:tc>
      </w:tr>
      <w:tr>
        <w:tblPrEx>
          <w:tblCellMar>
            <w:top w:w="0" w:type="dxa"/>
            <w:left w:w="108" w:type="dxa"/>
            <w:bottom w:w="0" w:type="dxa"/>
            <w:right w:w="108" w:type="dxa"/>
          </w:tblCellMar>
        </w:tblPrEx>
        <w:trPr>
          <w:gridAfter w:val="1"/>
          <w:wAfter w:w="420" w:type="dxa"/>
          <w:trHeight w:val="390" w:hRule="atLeast"/>
        </w:trPr>
        <w:tc>
          <w:tcPr>
            <w:tcW w:w="940"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309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20"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20"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2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648"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629"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34"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03表</w:t>
            </w:r>
          </w:p>
        </w:tc>
      </w:tr>
      <w:tr>
        <w:tblPrEx>
          <w:tblCellMar>
            <w:top w:w="0" w:type="dxa"/>
            <w:left w:w="108" w:type="dxa"/>
            <w:bottom w:w="0" w:type="dxa"/>
            <w:right w:w="108" w:type="dxa"/>
          </w:tblCellMar>
        </w:tblPrEx>
        <w:trPr>
          <w:gridAfter w:val="1"/>
          <w:wAfter w:w="420" w:type="dxa"/>
          <w:trHeight w:val="270" w:hRule="atLeast"/>
        </w:trPr>
        <w:tc>
          <w:tcPr>
            <w:tcW w:w="4030"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1020"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20"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20"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648"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629"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34"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tblPrEx>
          <w:tblCellMar>
            <w:top w:w="0" w:type="dxa"/>
            <w:left w:w="108" w:type="dxa"/>
            <w:bottom w:w="0" w:type="dxa"/>
            <w:right w:w="108" w:type="dxa"/>
          </w:tblCellMar>
        </w:tblPrEx>
        <w:trPr>
          <w:gridAfter w:val="1"/>
          <w:wAfter w:w="420" w:type="dxa"/>
          <w:trHeight w:val="420" w:hRule="atLeast"/>
        </w:trPr>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0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6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上缴上级支出</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经营支出</w:t>
            </w:r>
          </w:p>
        </w:tc>
        <w:tc>
          <w:tcPr>
            <w:tcW w:w="10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对附属单位补助支出</w:t>
            </w:r>
          </w:p>
        </w:tc>
      </w:tr>
      <w:tr>
        <w:trPr>
          <w:gridAfter w:val="1"/>
          <w:wAfter w:w="420" w:type="dxa"/>
          <w:trHeight w:val="61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30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gridAfter w:val="1"/>
          <w:wAfter w:w="420" w:type="dxa"/>
          <w:trHeight w:val="402" w:hRule="atLeast"/>
        </w:trPr>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3,250.55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2,471.72</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778.83</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一般公共服务支出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2,946.36</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2,279.57</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666.79</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财政事务</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2,946.36</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2,279.57</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666.79</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2010601</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2,059.85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2,059.85</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2010602</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一般行政管理事务</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383.74</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383.74</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2010607</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信息化建设</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92.87</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92.87</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2010650</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事业运行</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219.73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219.73</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其他财政事务支出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190.18</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190.18</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201.91</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行政事业单位离退休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189.53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189.53</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机关事业单位职业年金缴费支出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其他社会保障和就业支出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2089901</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其他社会保障和就业支出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农林水支出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15.13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15.13</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21305</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扶贫</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2130599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其他扶贫支出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21308</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普惠金融发展支出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2130899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其他普惠金融发展支出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自然资源海洋气象等支出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22001</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自然资源事务</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2200199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其他自然资源事务支出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22999</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2299901</w:t>
            </w:r>
          </w:p>
        </w:tc>
        <w:tc>
          <w:tcPr>
            <w:tcW w:w="30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77.15</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20" w:type="dxa"/>
          <w:trHeight w:val="375" w:hRule="atLeast"/>
        </w:trPr>
        <w:tc>
          <w:tcPr>
            <w:tcW w:w="9401" w:type="dxa"/>
            <w:gridSpan w:val="13"/>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注：本表反映部门本年度各项支出情况。</w:t>
            </w:r>
          </w:p>
        </w:tc>
      </w:tr>
      <w:tr>
        <w:tblPrEx>
          <w:tblCellMar>
            <w:top w:w="0" w:type="dxa"/>
            <w:left w:w="108" w:type="dxa"/>
            <w:bottom w:w="0" w:type="dxa"/>
            <w:right w:w="108" w:type="dxa"/>
          </w:tblCellMar>
        </w:tblPrEx>
        <w:trPr>
          <w:trHeight w:val="510" w:hRule="atLeast"/>
        </w:trPr>
        <w:tc>
          <w:tcPr>
            <w:tcW w:w="9821" w:type="dxa"/>
            <w:gridSpan w:val="1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3" w:name="RANGE!A1:F35"/>
          </w:p>
          <w:p>
            <w:pPr>
              <w:widowControl/>
              <w:jc w:val="center"/>
              <w:rPr>
                <w:rFonts w:ascii="方正小标宋简体" w:hAnsi="宋体" w:eastAsia="方正小标宋简体" w:cs="宋体"/>
                <w:b/>
                <w:kern w:val="0"/>
                <w:sz w:val="24"/>
              </w:rPr>
            </w:pPr>
            <w:r>
              <w:rPr>
                <w:rFonts w:hint="eastAsia" w:ascii="方正小标宋简体" w:hAnsi="宋体" w:eastAsia="方正小标宋简体" w:cs="宋体"/>
                <w:b/>
                <w:kern w:val="0"/>
                <w:sz w:val="24"/>
              </w:rPr>
              <w:t>财政拨款收入支出决算总表</w:t>
            </w:r>
            <w:bookmarkEnd w:id="3"/>
          </w:p>
        </w:tc>
      </w:tr>
      <w:tr>
        <w:trPr>
          <w:trHeight w:val="270" w:hRule="atLeast"/>
        </w:trPr>
        <w:tc>
          <w:tcPr>
            <w:tcW w:w="376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2891"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964" w:type="dxa"/>
            <w:gridSpan w:val="2"/>
            <w:tcBorders>
              <w:top w:val="nil"/>
              <w:left w:val="nil"/>
              <w:bottom w:val="nil"/>
              <w:right w:val="nil"/>
            </w:tcBorders>
            <w:shd w:val="clear" w:color="auto" w:fill="auto"/>
            <w:noWrap/>
            <w:vAlign w:val="bottom"/>
          </w:tcPr>
          <w:p>
            <w:pPr>
              <w:widowControl/>
              <w:jc w:val="right"/>
              <w:rPr>
                <w:rFonts w:ascii="宋体" w:hAnsi="宋体" w:eastAsia="宋体" w:cs="宋体"/>
                <w:kern w:val="0"/>
                <w:sz w:val="18"/>
                <w:szCs w:val="18"/>
              </w:rPr>
            </w:pPr>
          </w:p>
        </w:tc>
        <w:tc>
          <w:tcPr>
            <w:tcW w:w="1107" w:type="dxa"/>
            <w:gridSpan w:val="3"/>
            <w:tcBorders>
              <w:top w:val="nil"/>
              <w:left w:val="nil"/>
              <w:bottom w:val="nil"/>
              <w:right w:val="nil"/>
            </w:tcBorders>
            <w:shd w:val="clear" w:color="auto" w:fill="auto"/>
            <w:noWrap/>
            <w:vAlign w:val="center"/>
          </w:tcPr>
          <w:p>
            <w:pPr>
              <w:widowControl/>
              <w:jc w:val="center"/>
              <w:rPr>
                <w:rFonts w:ascii="宋体" w:hAnsi="宋体" w:eastAsia="宋体" w:cs="宋体"/>
                <w:kern w:val="0"/>
                <w:sz w:val="18"/>
                <w:szCs w:val="18"/>
              </w:rPr>
            </w:pPr>
          </w:p>
        </w:tc>
        <w:tc>
          <w:tcPr>
            <w:tcW w:w="1095" w:type="dxa"/>
            <w:gridSpan w:val="2"/>
            <w:tcBorders>
              <w:top w:val="nil"/>
              <w:left w:val="nil"/>
              <w:bottom w:val="nil"/>
              <w:right w:val="nil"/>
            </w:tcBorders>
            <w:shd w:val="clear" w:color="auto" w:fill="auto"/>
            <w:noWrap/>
            <w:vAlign w:val="bottom"/>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04表</w:t>
            </w:r>
          </w:p>
        </w:tc>
      </w:tr>
      <w:tr>
        <w:trPr>
          <w:trHeight w:val="270" w:hRule="atLeast"/>
        </w:trPr>
        <w:tc>
          <w:tcPr>
            <w:tcW w:w="3764"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2891" w:type="dxa"/>
            <w:gridSpan w:val="4"/>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964"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107" w:type="dxa"/>
            <w:gridSpan w:val="3"/>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95"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tblPrEx>
          <w:tblCellMar>
            <w:top w:w="0" w:type="dxa"/>
            <w:left w:w="108" w:type="dxa"/>
            <w:bottom w:w="0" w:type="dxa"/>
            <w:right w:w="108" w:type="dxa"/>
          </w:tblCellMar>
        </w:tblPrEx>
        <w:trPr>
          <w:trHeight w:val="402" w:hRule="atLeast"/>
        </w:trPr>
        <w:tc>
          <w:tcPr>
            <w:tcW w:w="37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收入</w:t>
            </w:r>
          </w:p>
        </w:tc>
        <w:tc>
          <w:tcPr>
            <w:tcW w:w="6057"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支出</w:t>
            </w:r>
          </w:p>
        </w:tc>
      </w:tr>
      <w:tr>
        <w:trPr>
          <w:trHeight w:val="72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决算数</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10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一般公共预算财政拨款</w:t>
            </w:r>
          </w:p>
        </w:tc>
        <w:tc>
          <w:tcPr>
            <w:tcW w:w="10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政府性基金预算财政拨款</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1、一般公共预算财政拨款</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3,450.03</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1、一般公共服务支出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2,779.51</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2,779.51</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2、政府性基金预算财政拨款</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2、外交支出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3、国有资本经营预算收入</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3、国防支出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4、公共安全支出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5、教育支出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6、科学技术支出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7、文化体育与传媒支出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8、社会保障和就业支出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201.91</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201.91</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9、医疗卫生与计划生育支出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10、节能环保支出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11、城乡社区支出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12、农林水支出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13、交通运输支出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14、资源勘探信息等支出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15、商业服务业等支出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16、金融支出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17、援助其他地区支出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18、国土海洋气象等支出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19、住房保障支出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20、粮油物资储备支出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21、其他支出</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45.00</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45.00</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3,450.03</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3,051.55</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3,051.55</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年初财政拨款结转和结余</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205.59</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年末财政拨款结转和结余</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604.07</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604.07</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205.59</w:t>
            </w:r>
          </w:p>
        </w:tc>
        <w:tc>
          <w:tcPr>
            <w:tcW w:w="2891"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67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10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3655.62</w:t>
            </w:r>
          </w:p>
        </w:tc>
        <w:tc>
          <w:tcPr>
            <w:tcW w:w="289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支出总计</w:t>
            </w:r>
          </w:p>
        </w:tc>
        <w:tc>
          <w:tcPr>
            <w:tcW w:w="96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3,655.62</w:t>
            </w:r>
          </w:p>
        </w:tc>
        <w:tc>
          <w:tcPr>
            <w:tcW w:w="1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3,655.62</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9821" w:type="dxa"/>
            <w:gridSpan w:val="14"/>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p>
      <w:pPr>
        <w:widowControl/>
        <w:jc w:val="center"/>
        <w:rPr>
          <w:rFonts w:ascii="黑体" w:hAnsi="黑体" w:eastAsia="黑体" w:cs="黑体"/>
          <w:kern w:val="0"/>
          <w:sz w:val="32"/>
          <w:szCs w:val="32"/>
        </w:rPr>
      </w:pPr>
    </w:p>
    <w:p>
      <w:pPr>
        <w:widowControl/>
        <w:jc w:val="center"/>
        <w:rPr>
          <w:rFonts w:ascii="黑体" w:hAnsi="黑体" w:eastAsia="黑体" w:cs="黑体"/>
          <w:kern w:val="0"/>
          <w:sz w:val="32"/>
          <w:szCs w:val="32"/>
        </w:rPr>
        <w:sectPr>
          <w:headerReference r:id="rId3" w:type="default"/>
          <w:footerReference r:id="rId4" w:type="default"/>
          <w:pgSz w:w="11906" w:h="16838"/>
          <w:pgMar w:top="1304" w:right="1418" w:bottom="1304" w:left="1418" w:header="851" w:footer="992" w:gutter="0"/>
          <w:cols w:space="425" w:num="1"/>
          <w:docGrid w:type="linesAndChars" w:linePitch="312" w:charSpace="0"/>
        </w:sectPr>
      </w:pPr>
    </w:p>
    <w:tbl>
      <w:tblPr>
        <w:tblStyle w:val="5"/>
        <w:tblW w:w="9257" w:type="dxa"/>
        <w:tblInd w:w="93" w:type="dxa"/>
        <w:tblLayout w:type="autofit"/>
        <w:tblCellMar>
          <w:top w:w="0" w:type="dxa"/>
          <w:left w:w="108" w:type="dxa"/>
          <w:bottom w:w="0" w:type="dxa"/>
          <w:right w:w="108" w:type="dxa"/>
        </w:tblCellMar>
      </w:tblPr>
      <w:tblGrid>
        <w:gridCol w:w="880"/>
        <w:gridCol w:w="16"/>
        <w:gridCol w:w="2714"/>
        <w:gridCol w:w="376"/>
        <w:gridCol w:w="953"/>
        <w:gridCol w:w="91"/>
        <w:gridCol w:w="845"/>
        <w:gridCol w:w="455"/>
        <w:gridCol w:w="481"/>
        <w:gridCol w:w="756"/>
        <w:gridCol w:w="53"/>
        <w:gridCol w:w="703"/>
        <w:gridCol w:w="317"/>
        <w:gridCol w:w="617"/>
      </w:tblGrid>
      <w:tr>
        <w:tblPrEx>
          <w:tblCellMar>
            <w:top w:w="0" w:type="dxa"/>
            <w:left w:w="108" w:type="dxa"/>
            <w:bottom w:w="0" w:type="dxa"/>
            <w:right w:w="108" w:type="dxa"/>
          </w:tblCellMar>
        </w:tblPrEx>
        <w:trPr>
          <w:trHeight w:val="540" w:hRule="atLeast"/>
        </w:trPr>
        <w:tc>
          <w:tcPr>
            <w:tcW w:w="9257" w:type="dxa"/>
            <w:gridSpan w:val="1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4" w:name="RANGE!A1:H38"/>
            <w:r>
              <w:rPr>
                <w:rFonts w:hint="eastAsia" w:ascii="方正小标宋简体" w:hAnsi="宋体" w:eastAsia="方正小标宋简体" w:cs="宋体"/>
                <w:b/>
                <w:kern w:val="0"/>
                <w:sz w:val="24"/>
              </w:rPr>
              <w:t>一般公共预算财政拨款支出决算表</w:t>
            </w:r>
            <w:bookmarkEnd w:id="4"/>
            <w:r>
              <w:rPr>
                <w:rFonts w:hint="eastAsia" w:ascii="方正小标宋简体" w:hAnsi="宋体" w:eastAsia="方正小标宋简体" w:cs="宋体"/>
                <w:b/>
                <w:kern w:val="0"/>
                <w:sz w:val="24"/>
              </w:rPr>
              <w:t>（按功能科目分）</w:t>
            </w:r>
          </w:p>
        </w:tc>
      </w:tr>
      <w:tr>
        <w:tblPrEx>
          <w:tblCellMar>
            <w:top w:w="0" w:type="dxa"/>
            <w:left w:w="108" w:type="dxa"/>
            <w:bottom w:w="0" w:type="dxa"/>
            <w:right w:w="108" w:type="dxa"/>
          </w:tblCellMar>
        </w:tblPrEx>
        <w:trPr>
          <w:trHeight w:val="390" w:hRule="atLeast"/>
        </w:trPr>
        <w:tc>
          <w:tcPr>
            <w:tcW w:w="896"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309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953"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936"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936"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756"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756"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934"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05表</w:t>
            </w:r>
          </w:p>
        </w:tc>
      </w:tr>
      <w:tr>
        <w:tblPrEx>
          <w:tblCellMar>
            <w:top w:w="0" w:type="dxa"/>
            <w:left w:w="108" w:type="dxa"/>
            <w:bottom w:w="0" w:type="dxa"/>
            <w:right w:w="108" w:type="dxa"/>
          </w:tblCellMar>
        </w:tblPrEx>
        <w:trPr>
          <w:trHeight w:val="450" w:hRule="atLeast"/>
        </w:trPr>
        <w:tc>
          <w:tcPr>
            <w:tcW w:w="3986"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953"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936"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936"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756"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756"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934"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单位：万元</w:t>
            </w:r>
          </w:p>
        </w:tc>
      </w:tr>
      <w:tr>
        <w:tblPrEx>
          <w:tblCellMar>
            <w:top w:w="0" w:type="dxa"/>
            <w:left w:w="108" w:type="dxa"/>
            <w:bottom w:w="0" w:type="dxa"/>
            <w:right w:w="108" w:type="dxa"/>
          </w:tblCellMar>
        </w:tblPrEx>
        <w:trPr>
          <w:trHeight w:val="450" w:hRule="atLeast"/>
        </w:trPr>
        <w:tc>
          <w:tcPr>
            <w:tcW w:w="39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9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2628" w:type="dxa"/>
            <w:gridSpan w:val="5"/>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75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9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675" w:hRule="atLeast"/>
        </w:trPr>
        <w:tc>
          <w:tcPr>
            <w:tcW w:w="89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30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9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c>
          <w:tcPr>
            <w:tcW w:w="75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02" w:hRule="atLeast"/>
        </w:trPr>
        <w:tc>
          <w:tcPr>
            <w:tcW w:w="896" w:type="dxa"/>
            <w:gridSpan w:val="2"/>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3,051.55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2,334.26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2,062.17</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717.29</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一般公共服务支出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2,779.51</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2,142.11</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1,870.02</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637.40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财政事务</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2,779.51</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2,142.11</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1,870.02</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637.40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2010601</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行政运行</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1,968.26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1,968.26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1,703.47</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264.79</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2010602</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一般行政管理事务</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354.36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354.36</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2010607</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信息化建设</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92.87</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92.87</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2010650</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事业运行</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173.85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173.85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166.55</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7.30</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2010699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其他财政事务支出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190.17</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190.17</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201.91</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行政事业单位离退休</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192.15</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189.53</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189.53</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189.53</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机关事业单位职业年金缴费支出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2.62</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其他社会保障和就业支出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2089901</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其他社会保障和就业支出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9.76</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农林水支出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15.13</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15.13</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21305</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扶贫</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2130599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其他扶贫支出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21308</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普惠金融发展支出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2130899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其他普惠金融发展支出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5.13</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自然资源海洋气象等支出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22001</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自然资源事务</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2200199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其他自然资源事务支出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22999</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896" w:type="dxa"/>
            <w:gridSpan w:val="2"/>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2299901</w:t>
            </w:r>
          </w:p>
        </w:tc>
        <w:tc>
          <w:tcPr>
            <w:tcW w:w="309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9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45.00</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5" w:hRule="atLeast"/>
        </w:trPr>
        <w:tc>
          <w:tcPr>
            <w:tcW w:w="9257" w:type="dxa"/>
            <w:gridSpan w:val="1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注：本表反映部门本年度一般公共预算财政拨款实际支出情况。</w:t>
            </w:r>
          </w:p>
        </w:tc>
      </w:tr>
      <w:tr>
        <w:tblPrEx>
          <w:tblCellMar>
            <w:top w:w="0" w:type="dxa"/>
            <w:left w:w="108" w:type="dxa"/>
            <w:bottom w:w="0" w:type="dxa"/>
            <w:right w:w="108" w:type="dxa"/>
          </w:tblCellMar>
        </w:tblPrEx>
        <w:trPr>
          <w:gridAfter w:val="1"/>
          <w:wAfter w:w="617" w:type="dxa"/>
          <w:trHeight w:val="570" w:hRule="atLeast"/>
        </w:trPr>
        <w:tc>
          <w:tcPr>
            <w:tcW w:w="8640" w:type="dxa"/>
            <w:gridSpan w:val="1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5" w:name="RANGE!A1:F51"/>
            <w:r>
              <w:rPr>
                <w:rFonts w:hint="eastAsia" w:ascii="方正小标宋简体" w:hAnsi="宋体" w:eastAsia="方正小标宋简体" w:cs="宋体"/>
                <w:b/>
                <w:kern w:val="0"/>
                <w:sz w:val="24"/>
              </w:rPr>
              <w:t>一般公共预算财政拨款支出决算表基本支出决算表（按经济分类科目）</w:t>
            </w:r>
            <w:bookmarkEnd w:id="5"/>
          </w:p>
        </w:tc>
      </w:tr>
      <w:tr>
        <w:tblPrEx>
          <w:tblCellMar>
            <w:top w:w="0" w:type="dxa"/>
            <w:left w:w="108" w:type="dxa"/>
            <w:bottom w:w="0" w:type="dxa"/>
            <w:right w:w="108" w:type="dxa"/>
          </w:tblCellMar>
        </w:tblPrEx>
        <w:trPr>
          <w:gridAfter w:val="1"/>
          <w:wAfter w:w="617" w:type="dxa"/>
          <w:trHeight w:val="570" w:hRule="atLeast"/>
        </w:trPr>
        <w:tc>
          <w:tcPr>
            <w:tcW w:w="880"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c>
          <w:tcPr>
            <w:tcW w:w="273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c>
          <w:tcPr>
            <w:tcW w:w="1420" w:type="dxa"/>
            <w:gridSpan w:val="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c>
          <w:tcPr>
            <w:tcW w:w="130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c>
          <w:tcPr>
            <w:tcW w:w="1290" w:type="dxa"/>
            <w:gridSpan w:val="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c>
          <w:tcPr>
            <w:tcW w:w="102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28"/>
                <w:szCs w:val="28"/>
              </w:rPr>
            </w:pPr>
          </w:p>
        </w:tc>
      </w:tr>
      <w:tr>
        <w:tblPrEx>
          <w:tblCellMar>
            <w:top w:w="0" w:type="dxa"/>
            <w:left w:w="108" w:type="dxa"/>
            <w:bottom w:w="0" w:type="dxa"/>
            <w:right w:w="108" w:type="dxa"/>
          </w:tblCellMar>
        </w:tblPrEx>
        <w:trPr>
          <w:gridAfter w:val="1"/>
          <w:wAfter w:w="617" w:type="dxa"/>
          <w:trHeight w:val="315" w:hRule="atLeast"/>
        </w:trPr>
        <w:tc>
          <w:tcPr>
            <w:tcW w:w="880"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273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42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30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29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20"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06表</w:t>
            </w:r>
          </w:p>
        </w:tc>
      </w:tr>
      <w:tr>
        <w:tblPrEx>
          <w:tblCellMar>
            <w:top w:w="0" w:type="dxa"/>
            <w:left w:w="108" w:type="dxa"/>
            <w:bottom w:w="0" w:type="dxa"/>
            <w:right w:w="108" w:type="dxa"/>
          </w:tblCellMar>
        </w:tblPrEx>
        <w:trPr>
          <w:gridAfter w:val="1"/>
          <w:wAfter w:w="617" w:type="dxa"/>
          <w:trHeight w:val="450" w:hRule="atLeast"/>
        </w:trPr>
        <w:tc>
          <w:tcPr>
            <w:tcW w:w="3610"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1420" w:type="dxa"/>
            <w:gridSpan w:val="3"/>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1300"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1290" w:type="dxa"/>
            <w:gridSpan w:val="3"/>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1020" w:type="dxa"/>
            <w:gridSpan w:val="2"/>
            <w:tcBorders>
              <w:top w:val="nil"/>
              <w:left w:val="nil"/>
              <w:bottom w:val="nil"/>
              <w:right w:val="nil"/>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单位：万元</w:t>
            </w:r>
          </w:p>
        </w:tc>
      </w:tr>
      <w:tr>
        <w:tblPrEx>
          <w:tblCellMar>
            <w:top w:w="0" w:type="dxa"/>
            <w:left w:w="108" w:type="dxa"/>
            <w:bottom w:w="0" w:type="dxa"/>
            <w:right w:w="108" w:type="dxa"/>
          </w:tblCellMar>
        </w:tblPrEx>
        <w:trPr>
          <w:gridAfter w:val="1"/>
          <w:wAfter w:w="617" w:type="dxa"/>
          <w:trHeight w:val="402" w:hRule="atLeast"/>
        </w:trPr>
        <w:tc>
          <w:tcPr>
            <w:tcW w:w="36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13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129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c>
          <w:tcPr>
            <w:tcW w:w="10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gridAfter w:val="1"/>
          <w:wAfter w:w="617" w:type="dxa"/>
          <w:trHeight w:val="75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经济分类科目编码</w:t>
            </w:r>
          </w:p>
        </w:tc>
        <w:tc>
          <w:tcPr>
            <w:tcW w:w="27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4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29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gridAfter w:val="1"/>
          <w:wAfter w:w="617" w:type="dxa"/>
          <w:trHeight w:val="402" w:hRule="atLeast"/>
        </w:trPr>
        <w:tc>
          <w:tcPr>
            <w:tcW w:w="36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2,334.26</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2,062.17</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1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1,939.13</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1,939.13</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684.32</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684.32</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476.69</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476.69</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215.91</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215.91</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29.24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29.24</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191.44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191.44</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2.87</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2.87</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76.93</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76.93</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13.22</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13.22</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179.71</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179.71</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23.24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23.24</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45.56</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45.56</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272.09</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5.36</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5.36</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5.77</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5.77</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0.01</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0.01</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4.74</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3.80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3.80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5.63</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5.63</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25.78</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25.78</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4.38</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4.38</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17.25</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17.25</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7.90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7.90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0.09</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0.09</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29.63</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29.63</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0.97</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0.97</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45.49</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45.49</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0.50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0.50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0.14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0.14</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101.80</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101.80</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7.77</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7.77</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123.04</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123.04</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44.05</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44.05</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2.76</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2.76</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2.52</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2.52</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72.02</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72.02</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2"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7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其他对个人和家庭的补助支出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1.69</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1.69</w:t>
            </w:r>
          </w:p>
        </w:tc>
        <w:tc>
          <w:tcPr>
            <w:tcW w:w="129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617" w:type="dxa"/>
          <w:trHeight w:val="405" w:hRule="atLeast"/>
        </w:trPr>
        <w:tc>
          <w:tcPr>
            <w:tcW w:w="8640" w:type="dxa"/>
            <w:gridSpan w:val="13"/>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注：本表反映部门本年度一般公共预算财政拨款基本支出明细情况。</w:t>
            </w:r>
          </w:p>
        </w:tc>
      </w:tr>
    </w:tbl>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tbl>
      <w:tblPr>
        <w:tblStyle w:val="5"/>
        <w:tblW w:w="9229" w:type="dxa"/>
        <w:tblInd w:w="93" w:type="dxa"/>
        <w:tblLayout w:type="autofit"/>
        <w:tblCellMar>
          <w:top w:w="0" w:type="dxa"/>
          <w:left w:w="108" w:type="dxa"/>
          <w:bottom w:w="0" w:type="dxa"/>
          <w:right w:w="108" w:type="dxa"/>
        </w:tblCellMar>
      </w:tblPr>
      <w:tblGrid>
        <w:gridCol w:w="1212"/>
        <w:gridCol w:w="788"/>
        <w:gridCol w:w="239"/>
        <w:gridCol w:w="753"/>
        <w:gridCol w:w="467"/>
        <w:gridCol w:w="525"/>
        <w:gridCol w:w="655"/>
        <w:gridCol w:w="479"/>
        <w:gridCol w:w="601"/>
        <w:gridCol w:w="533"/>
        <w:gridCol w:w="567"/>
        <w:gridCol w:w="426"/>
        <w:gridCol w:w="992"/>
        <w:gridCol w:w="992"/>
      </w:tblGrid>
      <w:tr>
        <w:tblPrEx>
          <w:tblCellMar>
            <w:top w:w="0" w:type="dxa"/>
            <w:left w:w="108" w:type="dxa"/>
            <w:bottom w:w="0" w:type="dxa"/>
            <w:right w:w="108" w:type="dxa"/>
          </w:tblCellMar>
        </w:tblPrEx>
        <w:trPr>
          <w:trHeight w:val="1365" w:hRule="atLeast"/>
        </w:trPr>
        <w:tc>
          <w:tcPr>
            <w:tcW w:w="9229" w:type="dxa"/>
            <w:gridSpan w:val="14"/>
            <w:tcBorders>
              <w:top w:val="nil"/>
              <w:left w:val="nil"/>
              <w:bottom w:val="nil"/>
              <w:right w:val="nil"/>
            </w:tcBorders>
            <w:shd w:val="clear" w:color="auto" w:fill="auto"/>
            <w:noWrap/>
            <w:vAlign w:val="bottom"/>
          </w:tcPr>
          <w:p>
            <w:pPr>
              <w:widowControl/>
              <w:jc w:val="center"/>
              <w:rPr>
                <w:rFonts w:ascii="宋体" w:hAnsi="宋体" w:eastAsia="宋体" w:cs="宋体"/>
                <w:b/>
                <w:kern w:val="0"/>
                <w:sz w:val="24"/>
              </w:rPr>
            </w:pPr>
            <w:bookmarkStart w:id="6" w:name="RANGE!A1:I12"/>
            <w:bookmarkEnd w:id="6"/>
            <w:r>
              <w:rPr>
                <w:rFonts w:hint="eastAsia" w:ascii="宋体" w:hAnsi="宋体" w:eastAsia="宋体" w:cs="宋体"/>
                <w:b/>
                <w:kern w:val="0"/>
                <w:sz w:val="24"/>
              </w:rPr>
              <w:t>一般公共预算财政拨款“三公”经费及会议费、培训费支出决算表</w:t>
            </w:r>
          </w:p>
        </w:tc>
      </w:tr>
      <w:tr>
        <w:tblPrEx>
          <w:tblCellMar>
            <w:top w:w="0" w:type="dxa"/>
            <w:left w:w="108" w:type="dxa"/>
            <w:bottom w:w="0" w:type="dxa"/>
            <w:right w:w="108" w:type="dxa"/>
          </w:tblCellMar>
        </w:tblPrEx>
        <w:trPr>
          <w:trHeight w:val="555" w:hRule="atLeast"/>
        </w:trPr>
        <w:tc>
          <w:tcPr>
            <w:tcW w:w="121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027"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122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118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108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11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42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992"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p>
        </w:tc>
        <w:tc>
          <w:tcPr>
            <w:tcW w:w="992"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07表</w:t>
            </w:r>
          </w:p>
        </w:tc>
      </w:tr>
      <w:tr>
        <w:tblPrEx>
          <w:tblCellMar>
            <w:top w:w="0" w:type="dxa"/>
            <w:left w:w="108" w:type="dxa"/>
            <w:bottom w:w="0" w:type="dxa"/>
            <w:right w:w="108" w:type="dxa"/>
          </w:tblCellMar>
        </w:tblPrEx>
        <w:trPr>
          <w:trHeight w:val="435" w:hRule="atLeast"/>
        </w:trPr>
        <w:tc>
          <w:tcPr>
            <w:tcW w:w="2239"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1220"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1180"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1080"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1100" w:type="dxa"/>
            <w:gridSpan w:val="2"/>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426"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992"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18"/>
                <w:szCs w:val="18"/>
              </w:rPr>
            </w:pPr>
          </w:p>
        </w:tc>
        <w:tc>
          <w:tcPr>
            <w:tcW w:w="992"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18"/>
                <w:szCs w:val="18"/>
              </w:rPr>
            </w:pPr>
            <w:r>
              <w:rPr>
                <w:rFonts w:hint="eastAsia" w:ascii="宋体" w:hAnsi="宋体" w:eastAsia="宋体" w:cs="宋体"/>
                <w:b/>
                <w:bCs/>
                <w:kern w:val="0"/>
                <w:sz w:val="18"/>
                <w:szCs w:val="18"/>
              </w:rPr>
              <w:t>单位：万元</w:t>
            </w:r>
          </w:p>
        </w:tc>
      </w:tr>
      <w:tr>
        <w:tblPrEx>
          <w:tblCellMar>
            <w:top w:w="0" w:type="dxa"/>
            <w:left w:w="108" w:type="dxa"/>
            <w:bottom w:w="0" w:type="dxa"/>
            <w:right w:w="108" w:type="dxa"/>
          </w:tblCellMar>
        </w:tblPrEx>
        <w:trPr>
          <w:trHeight w:val="510" w:hRule="atLeast"/>
        </w:trPr>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6033"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一般公共预算财政拨款安排的“三公”经费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会议费</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培训费</w:t>
            </w:r>
          </w:p>
        </w:tc>
      </w:tr>
      <w:tr>
        <w:tblPrEx>
          <w:tblCellMar>
            <w:top w:w="0" w:type="dxa"/>
            <w:left w:w="108" w:type="dxa"/>
            <w:bottom w:w="0" w:type="dxa"/>
            <w:right w:w="108" w:type="dxa"/>
          </w:tblCellMar>
        </w:tblPrEx>
        <w:trPr>
          <w:trHeight w:val="465"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因公出国（境）费用</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公务接待费</w:t>
            </w:r>
          </w:p>
        </w:tc>
        <w:tc>
          <w:tcPr>
            <w:tcW w:w="326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公务用车购置及运行维护费</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765"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公务用车购置费</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公务用车运行维护费</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02"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3</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4</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5</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8</w:t>
            </w:r>
          </w:p>
        </w:tc>
      </w:tr>
      <w:tr>
        <w:tblPrEx>
          <w:tblCellMar>
            <w:top w:w="0" w:type="dxa"/>
            <w:left w:w="108" w:type="dxa"/>
            <w:bottom w:w="0" w:type="dxa"/>
            <w:right w:w="108" w:type="dxa"/>
          </w:tblCellMar>
        </w:tblPrEx>
        <w:trPr>
          <w:trHeight w:val="402" w:hRule="atLeast"/>
        </w:trPr>
        <w:tc>
          <w:tcPr>
            <w:tcW w:w="1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本年数</w:t>
            </w:r>
          </w:p>
        </w:tc>
        <w:tc>
          <w:tcPr>
            <w:tcW w:w="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1.92</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1.69</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0.23</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0.23</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30.75</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22.44</w:t>
            </w:r>
          </w:p>
        </w:tc>
      </w:tr>
      <w:tr>
        <w:tblPrEx>
          <w:tblCellMar>
            <w:top w:w="0" w:type="dxa"/>
            <w:left w:w="108" w:type="dxa"/>
            <w:bottom w:w="0" w:type="dxa"/>
            <w:right w:w="108" w:type="dxa"/>
          </w:tblCellMar>
        </w:tblPrEx>
        <w:trPr>
          <w:trHeight w:val="402" w:hRule="atLeast"/>
        </w:trPr>
        <w:tc>
          <w:tcPr>
            <w:tcW w:w="1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上年数</w:t>
            </w:r>
          </w:p>
        </w:tc>
        <w:tc>
          <w:tcPr>
            <w:tcW w:w="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7.53</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6.06</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30.67</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14.84</w:t>
            </w:r>
          </w:p>
        </w:tc>
      </w:tr>
      <w:tr>
        <w:tblPrEx>
          <w:tblCellMar>
            <w:top w:w="0" w:type="dxa"/>
            <w:left w:w="108" w:type="dxa"/>
            <w:bottom w:w="0" w:type="dxa"/>
            <w:right w:w="108" w:type="dxa"/>
          </w:tblCellMar>
        </w:tblPrEx>
        <w:trPr>
          <w:trHeight w:val="402" w:hRule="atLeast"/>
        </w:trPr>
        <w:tc>
          <w:tcPr>
            <w:tcW w:w="1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增减额</w:t>
            </w:r>
          </w:p>
        </w:tc>
        <w:tc>
          <w:tcPr>
            <w:tcW w:w="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-5.61</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-4.37</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0.08</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7.60</w:t>
            </w:r>
          </w:p>
        </w:tc>
      </w:tr>
      <w:tr>
        <w:tblPrEx>
          <w:tblCellMar>
            <w:top w:w="0" w:type="dxa"/>
            <w:left w:w="108" w:type="dxa"/>
            <w:bottom w:w="0" w:type="dxa"/>
            <w:right w:w="108" w:type="dxa"/>
          </w:tblCellMar>
        </w:tblPrEx>
        <w:trPr>
          <w:trHeight w:val="402" w:hRule="atLeast"/>
        </w:trPr>
        <w:tc>
          <w:tcPr>
            <w:tcW w:w="121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增减率（%）</w:t>
            </w:r>
          </w:p>
        </w:tc>
        <w:tc>
          <w:tcPr>
            <w:tcW w:w="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-0.75</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-0.72</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-0.84</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-0.84</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0.51</w:t>
            </w:r>
          </w:p>
        </w:tc>
      </w:tr>
      <w:tr>
        <w:tblPrEx>
          <w:tblCellMar>
            <w:top w:w="0" w:type="dxa"/>
            <w:left w:w="108" w:type="dxa"/>
            <w:bottom w:w="0" w:type="dxa"/>
            <w:right w:w="108" w:type="dxa"/>
          </w:tblCellMar>
        </w:tblPrEx>
        <w:trPr>
          <w:trHeight w:val="405" w:hRule="atLeast"/>
        </w:trPr>
        <w:tc>
          <w:tcPr>
            <w:tcW w:w="121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8017" w:type="dxa"/>
            <w:gridSpan w:val="13"/>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注：本表反映部门本年度一般公共预算财政拨款“三公”经费、会议费、培训费的实际支出。</w:t>
            </w:r>
          </w:p>
        </w:tc>
      </w:tr>
    </w:tbl>
    <w:p>
      <w:pPr>
        <w:widowControl/>
        <w:jc w:val="center"/>
        <w:rPr>
          <w:rFonts w:ascii="黑体" w:hAnsi="黑体" w:eastAsia="黑体" w:cs="黑体"/>
          <w:b/>
          <w:kern w:val="0"/>
          <w:sz w:val="32"/>
          <w:szCs w:val="32"/>
        </w:rPr>
      </w:pPr>
    </w:p>
    <w:p>
      <w:pPr>
        <w:widowControl/>
        <w:jc w:val="center"/>
        <w:rPr>
          <w:rFonts w:ascii="黑体" w:hAnsi="黑体" w:eastAsia="黑体" w:cs="黑体"/>
          <w:b/>
          <w:kern w:val="0"/>
          <w:sz w:val="32"/>
          <w:szCs w:val="32"/>
        </w:rPr>
      </w:pPr>
    </w:p>
    <w:tbl>
      <w:tblPr>
        <w:tblStyle w:val="5"/>
        <w:tblW w:w="8670" w:type="dxa"/>
        <w:tblInd w:w="93" w:type="dxa"/>
        <w:tblLayout w:type="autofit"/>
        <w:tblCellMar>
          <w:top w:w="0" w:type="dxa"/>
          <w:left w:w="108" w:type="dxa"/>
          <w:bottom w:w="0" w:type="dxa"/>
          <w:right w:w="108" w:type="dxa"/>
        </w:tblCellMar>
      </w:tblPr>
      <w:tblGrid>
        <w:gridCol w:w="1143"/>
        <w:gridCol w:w="1083"/>
        <w:gridCol w:w="1074"/>
        <w:gridCol w:w="1074"/>
        <w:gridCol w:w="1074"/>
        <w:gridCol w:w="1074"/>
        <w:gridCol w:w="1074"/>
        <w:gridCol w:w="1074"/>
      </w:tblGrid>
      <w:tr>
        <w:tblPrEx>
          <w:tblCellMar>
            <w:top w:w="0" w:type="dxa"/>
            <w:left w:w="108" w:type="dxa"/>
            <w:bottom w:w="0" w:type="dxa"/>
            <w:right w:w="108" w:type="dxa"/>
          </w:tblCellMar>
        </w:tblPrEx>
        <w:trPr>
          <w:trHeight w:val="675" w:hRule="atLeast"/>
        </w:trPr>
        <w:tc>
          <w:tcPr>
            <w:tcW w:w="8670" w:type="dxa"/>
            <w:gridSpan w:val="8"/>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kern w:val="0"/>
                <w:sz w:val="24"/>
              </w:rPr>
            </w:pPr>
            <w:bookmarkStart w:id="7" w:name="RANGE!A1:H18"/>
            <w:r>
              <w:rPr>
                <w:rFonts w:hint="eastAsia" w:ascii="方正小标宋简体" w:hAnsi="宋体" w:eastAsia="方正小标宋简体" w:cs="宋体"/>
                <w:b/>
                <w:kern w:val="0"/>
                <w:sz w:val="24"/>
              </w:rPr>
              <w:t>政府性基金预算财政拨款收入支出决算表</w:t>
            </w:r>
            <w:bookmarkEnd w:id="7"/>
          </w:p>
        </w:tc>
      </w:tr>
      <w:tr>
        <w:tblPrEx>
          <w:tblCellMar>
            <w:top w:w="0" w:type="dxa"/>
            <w:left w:w="108" w:type="dxa"/>
            <w:bottom w:w="0" w:type="dxa"/>
            <w:right w:w="108" w:type="dxa"/>
          </w:tblCellMar>
        </w:tblPrEx>
        <w:trPr>
          <w:trHeight w:val="270" w:hRule="atLeast"/>
        </w:trPr>
        <w:tc>
          <w:tcPr>
            <w:tcW w:w="1143"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83"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p>
        </w:tc>
        <w:tc>
          <w:tcPr>
            <w:tcW w:w="1074"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08表</w:t>
            </w:r>
          </w:p>
        </w:tc>
      </w:tr>
      <w:tr>
        <w:tblPrEx>
          <w:tblCellMar>
            <w:top w:w="0" w:type="dxa"/>
            <w:left w:w="108" w:type="dxa"/>
            <w:bottom w:w="0" w:type="dxa"/>
            <w:right w:w="108" w:type="dxa"/>
          </w:tblCellMar>
        </w:tblPrEx>
        <w:trPr>
          <w:trHeight w:val="330" w:hRule="atLeast"/>
        </w:trPr>
        <w:tc>
          <w:tcPr>
            <w:tcW w:w="2226"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编制部门：商洛市财政局</w:t>
            </w:r>
          </w:p>
        </w:tc>
        <w:tc>
          <w:tcPr>
            <w:tcW w:w="107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7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7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74" w:type="dxa"/>
            <w:tcBorders>
              <w:top w:val="nil"/>
              <w:left w:val="nil"/>
              <w:bottom w:val="nil"/>
              <w:right w:val="nil"/>
            </w:tcBorders>
            <w:shd w:val="clear" w:color="auto" w:fill="auto"/>
            <w:noWrap/>
            <w:vAlign w:val="center"/>
          </w:tcPr>
          <w:p>
            <w:pPr>
              <w:widowControl/>
              <w:jc w:val="left"/>
              <w:rPr>
                <w:rFonts w:ascii="宋体" w:hAnsi="宋体" w:eastAsia="宋体" w:cs="宋体"/>
                <w:b/>
                <w:bCs/>
                <w:kern w:val="0"/>
                <w:sz w:val="20"/>
                <w:szCs w:val="20"/>
              </w:rPr>
            </w:pPr>
          </w:p>
        </w:tc>
        <w:tc>
          <w:tcPr>
            <w:tcW w:w="1074" w:type="dxa"/>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20"/>
                <w:szCs w:val="20"/>
              </w:rPr>
            </w:pPr>
          </w:p>
        </w:tc>
        <w:tc>
          <w:tcPr>
            <w:tcW w:w="1074" w:type="dxa"/>
            <w:tcBorders>
              <w:top w:val="nil"/>
              <w:left w:val="nil"/>
              <w:bottom w:val="nil"/>
              <w:right w:val="nil"/>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trPr>
          <w:trHeight w:val="402" w:hRule="atLeast"/>
        </w:trPr>
        <w:tc>
          <w:tcPr>
            <w:tcW w:w="22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0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年初结转和结余</w:t>
            </w:r>
          </w:p>
        </w:tc>
        <w:tc>
          <w:tcPr>
            <w:tcW w:w="10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w:t>
            </w:r>
          </w:p>
        </w:tc>
        <w:tc>
          <w:tcPr>
            <w:tcW w:w="3222" w:type="dxa"/>
            <w:gridSpan w:val="3"/>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w:t>
            </w:r>
          </w:p>
        </w:tc>
        <w:tc>
          <w:tcPr>
            <w:tcW w:w="10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年末结转和结余</w:t>
            </w:r>
          </w:p>
        </w:tc>
      </w:tr>
      <w:tr>
        <w:tblPrEx>
          <w:tblCellMar>
            <w:top w:w="0" w:type="dxa"/>
            <w:left w:w="108" w:type="dxa"/>
            <w:bottom w:w="0" w:type="dxa"/>
            <w:right w:w="108" w:type="dxa"/>
          </w:tblCellMar>
        </w:tblPrEx>
        <w:trPr>
          <w:trHeight w:val="615" w:hRule="atLeast"/>
        </w:trPr>
        <w:tc>
          <w:tcPr>
            <w:tcW w:w="11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10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0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0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10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2" w:hRule="atLeast"/>
        </w:trPr>
        <w:tc>
          <w:tcPr>
            <w:tcW w:w="222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2" w:hRule="atLeast"/>
        </w:trPr>
        <w:tc>
          <w:tcPr>
            <w:tcW w:w="11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2" w:hRule="atLeast"/>
        </w:trPr>
        <w:tc>
          <w:tcPr>
            <w:tcW w:w="8670" w:type="dxa"/>
            <w:gridSpan w:val="8"/>
            <w:tcBorders>
              <w:top w:val="single" w:color="auto" w:sz="4" w:space="0"/>
              <w:left w:val="nil"/>
              <w:bottom w:val="nil"/>
              <w:right w:val="nil"/>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注：本表反映部门本年度政府性基金预算财政拨款收入支出及结转和结余情况</w:t>
            </w:r>
          </w:p>
        </w:tc>
      </w:tr>
    </w:tbl>
    <w:p>
      <w:pPr>
        <w:widowControl/>
        <w:jc w:val="center"/>
        <w:rPr>
          <w:rFonts w:ascii="黑体" w:hAnsi="黑体" w:eastAsia="黑体" w:cs="黑体"/>
          <w:b/>
          <w:kern w:val="0"/>
          <w:sz w:val="32"/>
          <w:szCs w:val="32"/>
        </w:rPr>
      </w:pPr>
      <w:r>
        <w:rPr>
          <w:rFonts w:hint="eastAsia" w:ascii="黑体" w:hAnsi="黑体" w:eastAsia="黑体" w:cs="黑体"/>
          <w:b/>
          <w:kern w:val="0"/>
          <w:sz w:val="32"/>
          <w:szCs w:val="32"/>
        </w:rPr>
        <w:t>第三部分  2019 年部门决算情况说明</w:t>
      </w: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一、收入支出决算总体情况说明</w:t>
      </w:r>
    </w:p>
    <w:p>
      <w:pPr>
        <w:spacing w:line="60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hint="eastAsia" w:ascii="仿宋" w:hAnsi="仿宋" w:eastAsia="仿宋" w:cs="Times New Roman"/>
          <w:bCs/>
          <w:kern w:val="0"/>
          <w:sz w:val="32"/>
          <w:szCs w:val="32"/>
        </w:rPr>
        <w:t>2019年度收入总计4005.69万元，其中：本年收入3590.78万元、年初结转结余414.91万元。收入总计较上年增加159.51万元，主要为信息化建设财政拨款及其他收入增加。</w:t>
      </w:r>
      <w:r>
        <w:rPr>
          <w:rFonts w:hint="eastAsia" w:ascii="仿宋" w:hAnsi="仿宋" w:eastAsia="仿宋"/>
          <w:bCs/>
          <w:kern w:val="0"/>
          <w:sz w:val="32"/>
          <w:szCs w:val="32"/>
        </w:rPr>
        <w:t>2019年度总支出4005.69万元，其中：本年支出3250.55万元、年末结转结余755.14万元。本年支出</w:t>
      </w:r>
      <w:r>
        <w:rPr>
          <w:rFonts w:hint="eastAsia" w:ascii="仿宋" w:hAnsi="仿宋" w:eastAsia="仿宋" w:cs="Times New Roman"/>
          <w:bCs/>
          <w:kern w:val="0"/>
          <w:sz w:val="32"/>
          <w:szCs w:val="32"/>
        </w:rPr>
        <w:t>较上年减少302.23万元，主要为人员经费支出和项目经费支出减少。本年收支总体平衡。</w:t>
      </w:r>
    </w:p>
    <w:p>
      <w:pPr>
        <w:ind w:firstLine="640"/>
        <w:rPr>
          <w:rFonts w:ascii="仿宋" w:hAnsi="仿宋" w:eastAsia="仿宋" w:cs="Times New Roman"/>
          <w:bCs/>
          <w:kern w:val="0"/>
          <w:sz w:val="32"/>
          <w:szCs w:val="32"/>
        </w:rPr>
      </w:pPr>
      <w:r>
        <w:rPr>
          <w:rFonts w:hint="eastAsia" w:ascii="仿宋" w:hAnsi="仿宋" w:eastAsia="仿宋"/>
          <w:bCs/>
          <w:kern w:val="0"/>
          <w:sz w:val="32"/>
          <w:szCs w:val="32"/>
        </w:rPr>
        <w:t>2、2019年度</w:t>
      </w:r>
      <w:r>
        <w:rPr>
          <w:rFonts w:hint="eastAsia" w:ascii="仿宋" w:hAnsi="仿宋" w:eastAsia="仿宋"/>
          <w:bCs/>
          <w:kern w:val="0"/>
          <w:sz w:val="32"/>
          <w:szCs w:val="32"/>
          <w:lang w:val="en-US" w:eastAsia="zh-CN"/>
        </w:rPr>
        <w:t>本年</w:t>
      </w:r>
      <w:r>
        <w:rPr>
          <w:rFonts w:hint="eastAsia" w:ascii="仿宋" w:hAnsi="仿宋" w:eastAsia="仿宋"/>
          <w:bCs/>
          <w:kern w:val="0"/>
          <w:sz w:val="32"/>
          <w:szCs w:val="32"/>
        </w:rPr>
        <w:t>收入3590.78万元，</w:t>
      </w:r>
      <w:r>
        <w:rPr>
          <w:rFonts w:hint="eastAsia" w:ascii="仿宋" w:hAnsi="仿宋" w:eastAsia="仿宋" w:cs="Times New Roman"/>
          <w:bCs/>
          <w:kern w:val="0"/>
          <w:sz w:val="32"/>
          <w:szCs w:val="32"/>
        </w:rPr>
        <w:t>其中：财政拨款3450.03万元，其他收入140.75万元。</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4667250" cy="307657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rPr>
          <w:rFonts w:ascii="仿宋" w:hAnsi="仿宋" w:eastAsia="仿宋"/>
          <w:bCs/>
          <w:kern w:val="0"/>
          <w:sz w:val="32"/>
          <w:szCs w:val="32"/>
        </w:rPr>
      </w:pPr>
      <w:r>
        <w:rPr>
          <w:rFonts w:hint="eastAsia" w:ascii="仿宋" w:hAnsi="仿宋" w:eastAsia="仿宋"/>
          <w:bCs/>
          <w:kern w:val="0"/>
          <w:sz w:val="32"/>
          <w:szCs w:val="32"/>
        </w:rPr>
        <w:t>3、2019年度</w:t>
      </w:r>
      <w:r>
        <w:rPr>
          <w:rFonts w:hint="eastAsia" w:ascii="仿宋" w:hAnsi="仿宋" w:eastAsia="仿宋"/>
          <w:bCs/>
          <w:kern w:val="0"/>
          <w:sz w:val="32"/>
          <w:szCs w:val="32"/>
          <w:lang w:val="en-US" w:eastAsia="zh-CN"/>
        </w:rPr>
        <w:t>本年</w:t>
      </w:r>
      <w:r>
        <w:rPr>
          <w:rFonts w:hint="eastAsia" w:ascii="仿宋" w:hAnsi="仿宋" w:eastAsia="仿宋"/>
          <w:bCs/>
          <w:kern w:val="0"/>
          <w:sz w:val="32"/>
          <w:szCs w:val="32"/>
        </w:rPr>
        <w:t>支出3250.55万元，其中：基本支出2471.72万元，项目支出778.83万元。</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0" distR="0">
            <wp:extent cx="4552950" cy="28956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rPr>
          <w:rFonts w:ascii="仿宋_GB2312" w:hAnsi="仿宋_GB2312" w:eastAsia="仿宋_GB2312" w:cs="仿宋_GB2312"/>
          <w:kern w:val="0"/>
          <w:sz w:val="32"/>
          <w:szCs w:val="32"/>
        </w:rPr>
      </w:pP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二、2019年度财政拨款收入支出总体情况说明</w:t>
      </w:r>
    </w:p>
    <w:p>
      <w:pPr>
        <w:widowControl/>
        <w:ind w:firstLine="640" w:firstLineChars="200"/>
        <w:rPr>
          <w:rFonts w:ascii="仿宋" w:hAnsi="仿宋" w:eastAsia="仿宋" w:cs="Times New Roman"/>
          <w:bCs/>
          <w:kern w:val="0"/>
          <w:sz w:val="32"/>
          <w:szCs w:val="32"/>
        </w:rPr>
      </w:pPr>
      <w:r>
        <w:rPr>
          <w:rFonts w:hint="eastAsia" w:ascii="仿宋" w:hAnsi="仿宋" w:eastAsia="仿宋" w:cs="仿宋_GB2312"/>
          <w:bCs/>
          <w:kern w:val="0"/>
          <w:sz w:val="32"/>
          <w:szCs w:val="32"/>
        </w:rPr>
        <w:t>1、2019年度财政拨款收入总计3655.62万元，其中：本年收入3450.03万元、年初财政拨款结转结余205.59万元。本年财政拨款收入较上年增加395.29万元，主要为财政信息化建设拨款增加。2019年度</w:t>
      </w:r>
      <w:r>
        <w:rPr>
          <w:rFonts w:hint="eastAsia" w:ascii="仿宋" w:hAnsi="仿宋" w:eastAsia="仿宋" w:cs="仿宋_GB2312"/>
          <w:kern w:val="0"/>
          <w:sz w:val="32"/>
          <w:szCs w:val="32"/>
        </w:rPr>
        <w:t>一般公共预算财政拨款支出总计3655.62万元，其中：本年支出合计3051.55万元、年末财政拨款结转结余604.07万元。本年支出较上年减少377.81万元，主要是减编减员</w:t>
      </w:r>
      <w:r>
        <w:rPr>
          <w:rFonts w:hint="eastAsia" w:ascii="仿宋" w:hAnsi="仿宋" w:eastAsia="仿宋" w:cs="Times New Roman"/>
          <w:bCs/>
          <w:kern w:val="0"/>
          <w:sz w:val="32"/>
          <w:szCs w:val="32"/>
        </w:rPr>
        <w:t>人员经费支出减少，二是项目经费支出减少。</w:t>
      </w:r>
    </w:p>
    <w:p>
      <w:pPr>
        <w:widowControl/>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2、</w:t>
      </w:r>
      <w:r>
        <w:rPr>
          <w:rFonts w:hint="eastAsia" w:ascii="仿宋" w:hAnsi="仿宋" w:eastAsia="仿宋" w:cs="仿宋_GB2312"/>
          <w:bCs/>
          <w:kern w:val="0"/>
          <w:sz w:val="32"/>
          <w:szCs w:val="32"/>
        </w:rPr>
        <w:t>2019年度</w:t>
      </w:r>
      <w:r>
        <w:rPr>
          <w:rFonts w:hint="eastAsia" w:ascii="仿宋" w:hAnsi="仿宋" w:eastAsia="仿宋" w:cs="仿宋_GB2312"/>
          <w:kern w:val="0"/>
          <w:sz w:val="32"/>
          <w:szCs w:val="32"/>
        </w:rPr>
        <w:t>财政拨款“一般公共服务支出”支出（按功能分类科目）3051.55万元。其中：“财政事务”支出2779.51万元，主要是人员经费2142.11万元和日常公用开支1870.02万元；社会和保障就业支出201.91万元，主要为职工缴纳养老保险及医疗保障金等；“农林水支出”15.13万元，主要为“扶贫”支出10.00万元、普惠金融发展支出5.13万元；“自然资源海洋气象等支出”10.00万元；“其他支出”45.00万元。</w:t>
      </w:r>
    </w:p>
    <w:p>
      <w:pPr>
        <w:widowControl/>
        <w:ind w:firstLine="640" w:firstLineChars="200"/>
        <w:rPr>
          <w:rFonts w:ascii="仿宋" w:hAnsi="仿宋" w:eastAsia="仿宋" w:cs="仿宋_GB2312"/>
          <w:kern w:val="0"/>
          <w:sz w:val="32"/>
          <w:szCs w:val="32"/>
        </w:rPr>
      </w:pPr>
      <w:r>
        <w:rPr>
          <w:rFonts w:hint="eastAsia" w:ascii="仿宋" w:hAnsi="仿宋" w:eastAsia="仿宋" w:cs="Times New Roman"/>
          <w:bCs/>
          <w:kern w:val="0"/>
          <w:sz w:val="32"/>
          <w:szCs w:val="32"/>
        </w:rPr>
        <w:t>3、</w:t>
      </w:r>
      <w:r>
        <w:rPr>
          <w:rFonts w:hint="eastAsia" w:ascii="仿宋" w:hAnsi="仿宋" w:eastAsia="仿宋" w:cs="仿宋_GB2312"/>
          <w:bCs/>
          <w:kern w:val="0"/>
          <w:sz w:val="32"/>
          <w:szCs w:val="32"/>
        </w:rPr>
        <w:t>2019年度</w:t>
      </w:r>
      <w:r>
        <w:rPr>
          <w:rFonts w:hint="eastAsia" w:ascii="仿宋" w:hAnsi="仿宋" w:eastAsia="仿宋" w:cs="仿宋_GB2312"/>
          <w:kern w:val="0"/>
          <w:sz w:val="32"/>
          <w:szCs w:val="32"/>
        </w:rPr>
        <w:t>一般公共预算财政拨款基本支出2334.26万元。</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人员经费支出2062.17万元，主要包括：基本工资684.32万元，津贴补贴476.69万元，奖金215.91万元，绩效工资29.24万元，机关事业单位基本养老保险缴费191.44万元，职业年金缴费2.87万元，职工基本医疗保险缴费76.93万元，其他社会保障缴费13.22万元，住房公积金179.71万元，医疗费23.24万元，其他工资福利支出45.56万元，抚恤金44.05万元，生活补助2.76万元，医疗费补助2.52万元，奖励金72.02万元，其他对个人和家庭的补助支出1.69万元。</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公用经费支出272.09万元，主要包括：办公费5.36万元，印刷费5.77万元，咨询费1.40万元，手续费0.01万元，水费4.47万元，电费3.80万元，邮电费5.63万元，取暖费25.78万元，物业管理费4.38万元，差旅费17.25万元，维修维护费7.90万元，会议费1.03万元，培训费0.09万元，公务接待费1.60万元，专用材料费1.05万元，劳务费29.63万元，委托业务费0.97万元，工会经费45.49万元，福利费0.50万元，公务用车运行维护费0.14万元，其他交通费用101.80万元，其他商品和服务支出7.77万元。</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4.2019年度本部门无政府性基金拨款收支,并已公开空表。</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 本部门无国有资本经营拨款收支。</w:t>
      </w: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三、2019年度“三公”经费、培训费及会议费支出情</w:t>
      </w:r>
      <w:r>
        <w:rPr>
          <w:rFonts w:hint="eastAsia" w:ascii="仿宋_GB2312" w:hAnsi="仿宋_GB2312" w:eastAsia="仿宋_GB2312" w:cs="仿宋_GB2312"/>
          <w:b/>
          <w:bCs/>
          <w:kern w:val="0"/>
          <w:sz w:val="32"/>
          <w:szCs w:val="32"/>
        </w:rPr>
        <w:br w:type="textWrapping"/>
      </w:r>
      <w:r>
        <w:rPr>
          <w:rFonts w:hint="eastAsia" w:ascii="仿宋_GB2312" w:hAnsi="仿宋_GB2312" w:eastAsia="仿宋_GB2312" w:cs="仿宋_GB2312"/>
          <w:b/>
          <w:bCs/>
          <w:kern w:val="0"/>
          <w:sz w:val="32"/>
          <w:szCs w:val="32"/>
        </w:rPr>
        <w:t>况说明</w:t>
      </w:r>
    </w:p>
    <w:p>
      <w:pPr>
        <w:spacing w:line="360" w:lineRule="auto"/>
        <w:ind w:firstLine="723" w:firstLineChars="225"/>
        <w:rPr>
          <w:rFonts w:asciiTheme="minorEastAsia" w:hAnsiTheme="minorEastAsia"/>
          <w:b/>
          <w:sz w:val="32"/>
          <w:szCs w:val="32"/>
        </w:rPr>
      </w:pPr>
      <w:r>
        <w:rPr>
          <w:rFonts w:hint="eastAsia" w:asciiTheme="minorEastAsia" w:hAnsiTheme="minorEastAsia"/>
          <w:b/>
          <w:sz w:val="32"/>
          <w:szCs w:val="32"/>
        </w:rPr>
        <w:t>1.“三公”经费一般公共预算财政拨款支出总体情况说明。</w:t>
      </w:r>
    </w:p>
    <w:p>
      <w:pPr>
        <w:spacing w:line="360" w:lineRule="auto"/>
        <w:ind w:firstLine="720" w:firstLineChars="225"/>
        <w:rPr>
          <w:rFonts w:ascii="仿宋_GB2312" w:hAnsi="仿宋" w:eastAsia="仿宋_GB2312"/>
          <w:sz w:val="32"/>
          <w:szCs w:val="32"/>
        </w:rPr>
      </w:pPr>
      <w:r>
        <w:rPr>
          <w:rFonts w:hint="eastAsia" w:ascii="仿宋" w:hAnsi="仿宋" w:eastAsia="仿宋"/>
          <w:sz w:val="32"/>
          <w:szCs w:val="32"/>
        </w:rPr>
        <w:t>2019年度一般公共预算财政拨款安排的“三公经费”支出总计1.92万元，较上年减少5.61万元，较上年减少75%。主要原因是认真贯彻执行中央八项规定，从严控制“三公”经费开支。</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（1）因公出国(境)支出情况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本部门2019年因公出国(境)无预算，无实际支出。</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（2）公务用车购置及运行维护费用支出情况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2019年购置车辆0台,支出0万元,公务用车运行维护费支出0.23万元,</w:t>
      </w:r>
      <w:r>
        <w:rPr>
          <w:rFonts w:hint="eastAsia" w:ascii="仿宋" w:hAnsi="仿宋" w:eastAsia="仿宋"/>
          <w:sz w:val="32"/>
          <w:szCs w:val="32"/>
        </w:rPr>
        <w:t>当年预算数</w:t>
      </w:r>
      <w:r>
        <w:rPr>
          <w:rFonts w:hint="eastAsia" w:ascii="仿宋" w:hAnsi="仿宋" w:eastAsia="仿宋" w:cs="仿宋_GB2312"/>
          <w:kern w:val="0"/>
          <w:sz w:val="32"/>
          <w:szCs w:val="32"/>
        </w:rPr>
        <w:t>0万元。公务用车运行维护费产生原因是：根据事业单位公车改革要求，在车辆上交国有资产管理部门前，对车辆进行维修保养产生的费用。</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（3）公务接待费支出情况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2019年公务接待74批次,690人次,支出1.69万元,</w:t>
      </w:r>
      <w:r>
        <w:rPr>
          <w:rFonts w:hint="eastAsia" w:ascii="仿宋" w:hAnsi="仿宋" w:eastAsia="仿宋"/>
          <w:sz w:val="32"/>
          <w:szCs w:val="32"/>
        </w:rPr>
        <w:t>当年预算数</w:t>
      </w:r>
      <w:r>
        <w:rPr>
          <w:rFonts w:hint="eastAsia" w:ascii="仿宋" w:hAnsi="仿宋" w:eastAsia="仿宋" w:cs="仿宋_GB2312"/>
          <w:kern w:val="0"/>
          <w:sz w:val="32"/>
          <w:szCs w:val="32"/>
        </w:rPr>
        <w:t>1.69万元。</w:t>
      </w:r>
    </w:p>
    <w:p>
      <w:pPr>
        <w:widowControl/>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2.培训费支出情况。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2019年培训费支出22.44万元，当年预算22.50万元，完成全年预算的99.73%，支出与预算基本持平。按计划完成培训任务。</w:t>
      </w:r>
    </w:p>
    <w:p>
      <w:pPr>
        <w:widowControl/>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3.会议费支出情况。</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2019年会议费支出30.75万元，当年预算30.75万元，完成全年预算的100%，支出与预算持平。</w:t>
      </w:r>
    </w:p>
    <w:p>
      <w:pPr>
        <w:widowControl/>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四、2019年度部门绩效管理情况说明</w:t>
      </w:r>
    </w:p>
    <w:p>
      <w:pPr>
        <w:ind w:firstLine="800" w:firstLineChars="250"/>
        <w:rPr>
          <w:rFonts w:ascii="仿宋" w:hAnsi="仿宋" w:eastAsia="仿宋" w:cs="仿宋_GB2312"/>
          <w:kern w:val="0"/>
          <w:sz w:val="32"/>
          <w:szCs w:val="32"/>
        </w:rPr>
      </w:pPr>
      <w:r>
        <w:rPr>
          <w:rFonts w:ascii="仿宋" w:hAnsi="仿宋" w:eastAsia="仿宋" w:cs="仿宋_GB2312"/>
          <w:kern w:val="0"/>
          <w:sz w:val="32"/>
          <w:szCs w:val="32"/>
        </w:rPr>
        <w:t>201</w:t>
      </w:r>
      <w:r>
        <w:rPr>
          <w:rFonts w:hint="eastAsia" w:ascii="仿宋" w:hAnsi="仿宋" w:eastAsia="仿宋" w:cs="仿宋_GB2312"/>
          <w:kern w:val="0"/>
          <w:sz w:val="32"/>
          <w:szCs w:val="32"/>
        </w:rPr>
        <w:t>9年本部门未开展绩效管理，计划在以后年度开展绩效管理工作。</w:t>
      </w:r>
    </w:p>
    <w:p>
      <w:pPr>
        <w:widowControl/>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五、其他重要事项的情况说明</w:t>
      </w: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（一）机关运行经费支出情况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2019年日常公用经费年初预算数为344.38万元，调整预算数为347.30万元，支出决算数为272.09万元，完成于算数的78.34%，支出决算数比预算数减少75.21万元，主要是厉行节约，压缩各项费用开支。</w:t>
      </w: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（二）政府采购支出情况</w:t>
      </w:r>
    </w:p>
    <w:p>
      <w:pPr>
        <w:ind w:firstLine="640"/>
        <w:rPr>
          <w:rFonts w:ascii="仿宋" w:hAnsi="仿宋" w:eastAsia="仿宋" w:cs="仿宋_GB2312"/>
          <w:kern w:val="0"/>
          <w:sz w:val="32"/>
          <w:szCs w:val="32"/>
        </w:rPr>
      </w:pPr>
      <w:r>
        <w:rPr>
          <w:rFonts w:hint="eastAsia" w:ascii="仿宋" w:hAnsi="仿宋" w:eastAsia="仿宋" w:cs="仿宋_GB2312"/>
          <w:sz w:val="32"/>
          <w:szCs w:val="32"/>
        </w:rPr>
        <w:t>2019年本部门政府采购支出总额共37.53万元，其中政府采购货物类支出0万元、政府采购服务类支出37.53万元、政府采购工程类支出0万元。</w:t>
      </w:r>
    </w:p>
    <w:p>
      <w:pPr>
        <w:widowControl/>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（三）国有资产占用及购置情况说明</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截至2019年末，本部门及所属单位共有车辆0辆；20万元以上的通用设备0台（套）；单价50万元以上的通用设备1台（套）。2019年当年购置车辆0辆；购置单价20万元以上的通用设备0台（套）；购置单价50万元以上的通用设备0台（套）。</w:t>
      </w:r>
    </w:p>
    <w:p>
      <w:pPr>
        <w:widowControl/>
        <w:numPr>
          <w:ilvl w:val="0"/>
          <w:numId w:val="1"/>
        </w:numPr>
        <w:ind w:firstLine="643" w:firstLineChars="200"/>
        <w:jc w:val="center"/>
        <w:rPr>
          <w:rFonts w:ascii="黑体" w:hAnsi="黑体" w:eastAsia="黑体" w:cs="黑体"/>
          <w:b/>
          <w:kern w:val="0"/>
          <w:sz w:val="32"/>
          <w:szCs w:val="32"/>
        </w:rPr>
      </w:pPr>
      <w:r>
        <w:rPr>
          <w:rFonts w:hint="eastAsia" w:ascii="黑体" w:hAnsi="黑体" w:eastAsia="黑体" w:cs="黑体"/>
          <w:b/>
          <w:kern w:val="0"/>
          <w:sz w:val="32"/>
          <w:szCs w:val="32"/>
        </w:rPr>
        <w:t>专业名词解释</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1、基本支出：指为保障机构正常运转、完成日常工作任务而发生的各项支出。</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2、项目支出：指单位为完成特定的行政工作任务或事业发展目标所发生的各项支出。</w:t>
      </w:r>
    </w:p>
    <w:p>
      <w:pPr>
        <w:widowControl/>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3、“三公”经费：指部门使用一般公共预算财政拨款安排的因公出国（境）费、公务用车购置及运行费和公务接待费支出。</w:t>
      </w:r>
    </w:p>
    <w:p>
      <w:pPr>
        <w:spacing w:line="360" w:lineRule="auto"/>
        <w:ind w:firstLine="720" w:firstLineChars="225"/>
        <w:rPr>
          <w:rFonts w:ascii="仿宋" w:hAnsi="仿宋" w:eastAsia="仿宋" w:cs="仿宋_GB2312"/>
          <w:kern w:val="0"/>
          <w:sz w:val="32"/>
          <w:szCs w:val="32"/>
        </w:rPr>
      </w:pPr>
      <w:r>
        <w:rPr>
          <w:rFonts w:ascii="仿宋" w:hAnsi="仿宋" w:eastAsia="仿宋" w:cs="仿宋_GB2312"/>
          <w:kern w:val="0"/>
          <w:sz w:val="32"/>
          <w:szCs w:val="32"/>
        </w:rPr>
        <w:t>4</w:t>
      </w:r>
      <w:r>
        <w:rPr>
          <w:rFonts w:hint="eastAsia" w:ascii="仿宋" w:hAnsi="仿宋" w:eastAsia="仿宋" w:cs="仿宋_GB2312"/>
          <w:kern w:val="0"/>
          <w:sz w:val="32"/>
          <w:szCs w:val="32"/>
        </w:rPr>
        <w:t>、机关运行经费：指行政单位和参照公务员法管理的事业单位使用一般公共预算财政拨款支出的日常公用经费。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86A6F"/>
    <w:multiLevelType w:val="singleLevel"/>
    <w:tmpl w:val="42186A6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5D1D72"/>
    <w:rsid w:val="0000070A"/>
    <w:rsid w:val="00017E89"/>
    <w:rsid w:val="000270C3"/>
    <w:rsid w:val="00043FC1"/>
    <w:rsid w:val="00075057"/>
    <w:rsid w:val="0008273F"/>
    <w:rsid w:val="000978E7"/>
    <w:rsid w:val="000C1BCA"/>
    <w:rsid w:val="000D0687"/>
    <w:rsid w:val="000D1D9B"/>
    <w:rsid w:val="001144BB"/>
    <w:rsid w:val="00115618"/>
    <w:rsid w:val="00131D60"/>
    <w:rsid w:val="0013294B"/>
    <w:rsid w:val="001507EA"/>
    <w:rsid w:val="00160A30"/>
    <w:rsid w:val="001935F6"/>
    <w:rsid w:val="00195642"/>
    <w:rsid w:val="001A0E66"/>
    <w:rsid w:val="001A10E6"/>
    <w:rsid w:val="001B054C"/>
    <w:rsid w:val="001C2B74"/>
    <w:rsid w:val="00246B69"/>
    <w:rsid w:val="0025661F"/>
    <w:rsid w:val="002916BD"/>
    <w:rsid w:val="002B4363"/>
    <w:rsid w:val="002E5986"/>
    <w:rsid w:val="002F0113"/>
    <w:rsid w:val="00303CA8"/>
    <w:rsid w:val="00333D84"/>
    <w:rsid w:val="003452BE"/>
    <w:rsid w:val="0035496C"/>
    <w:rsid w:val="00355140"/>
    <w:rsid w:val="003A3298"/>
    <w:rsid w:val="003A5487"/>
    <w:rsid w:val="003C1C3E"/>
    <w:rsid w:val="003C1DC1"/>
    <w:rsid w:val="003F1A38"/>
    <w:rsid w:val="003F5DF0"/>
    <w:rsid w:val="00417A6B"/>
    <w:rsid w:val="00445A07"/>
    <w:rsid w:val="00492E15"/>
    <w:rsid w:val="00493540"/>
    <w:rsid w:val="004A5CB4"/>
    <w:rsid w:val="004B2643"/>
    <w:rsid w:val="004C6F5B"/>
    <w:rsid w:val="004C7239"/>
    <w:rsid w:val="004D7D7B"/>
    <w:rsid w:val="0050726E"/>
    <w:rsid w:val="00510A52"/>
    <w:rsid w:val="00511FE7"/>
    <w:rsid w:val="005174AC"/>
    <w:rsid w:val="0053387A"/>
    <w:rsid w:val="00533AE0"/>
    <w:rsid w:val="005405AA"/>
    <w:rsid w:val="00544D3E"/>
    <w:rsid w:val="00560E60"/>
    <w:rsid w:val="00566563"/>
    <w:rsid w:val="0058164B"/>
    <w:rsid w:val="005A41D8"/>
    <w:rsid w:val="005A653C"/>
    <w:rsid w:val="0061412B"/>
    <w:rsid w:val="00614EA7"/>
    <w:rsid w:val="00650AE1"/>
    <w:rsid w:val="00670857"/>
    <w:rsid w:val="006A1509"/>
    <w:rsid w:val="006A654E"/>
    <w:rsid w:val="006E708C"/>
    <w:rsid w:val="007004B9"/>
    <w:rsid w:val="00701BCA"/>
    <w:rsid w:val="00747DCB"/>
    <w:rsid w:val="0078528C"/>
    <w:rsid w:val="007A011E"/>
    <w:rsid w:val="007A6145"/>
    <w:rsid w:val="007D1000"/>
    <w:rsid w:val="007D3EFB"/>
    <w:rsid w:val="007F17EE"/>
    <w:rsid w:val="007F2175"/>
    <w:rsid w:val="008523C2"/>
    <w:rsid w:val="00867D56"/>
    <w:rsid w:val="00874B7F"/>
    <w:rsid w:val="008B4454"/>
    <w:rsid w:val="008C243D"/>
    <w:rsid w:val="008D2F92"/>
    <w:rsid w:val="00913BBE"/>
    <w:rsid w:val="009A344F"/>
    <w:rsid w:val="009A7FF4"/>
    <w:rsid w:val="009B452A"/>
    <w:rsid w:val="009B5A94"/>
    <w:rsid w:val="009E181C"/>
    <w:rsid w:val="009E521A"/>
    <w:rsid w:val="00A15D82"/>
    <w:rsid w:val="00A700A5"/>
    <w:rsid w:val="00B0505B"/>
    <w:rsid w:val="00B250CA"/>
    <w:rsid w:val="00B51DBE"/>
    <w:rsid w:val="00B7558C"/>
    <w:rsid w:val="00B960C8"/>
    <w:rsid w:val="00BA5169"/>
    <w:rsid w:val="00BA6230"/>
    <w:rsid w:val="00BA6D7D"/>
    <w:rsid w:val="00BB12F4"/>
    <w:rsid w:val="00BE3491"/>
    <w:rsid w:val="00C70DA3"/>
    <w:rsid w:val="00C80A49"/>
    <w:rsid w:val="00CA255A"/>
    <w:rsid w:val="00CC6D6B"/>
    <w:rsid w:val="00CD597F"/>
    <w:rsid w:val="00D213D9"/>
    <w:rsid w:val="00D255CA"/>
    <w:rsid w:val="00D703C4"/>
    <w:rsid w:val="00DC4D6C"/>
    <w:rsid w:val="00E05522"/>
    <w:rsid w:val="00E422F9"/>
    <w:rsid w:val="00E52AE5"/>
    <w:rsid w:val="00E54726"/>
    <w:rsid w:val="00E565C1"/>
    <w:rsid w:val="00E8047E"/>
    <w:rsid w:val="00EB2173"/>
    <w:rsid w:val="00EC188E"/>
    <w:rsid w:val="00EE0964"/>
    <w:rsid w:val="00F03C03"/>
    <w:rsid w:val="00F231A0"/>
    <w:rsid w:val="00F34D56"/>
    <w:rsid w:val="00F368EC"/>
    <w:rsid w:val="00F402E8"/>
    <w:rsid w:val="00F539FE"/>
    <w:rsid w:val="00F65F29"/>
    <w:rsid w:val="00F9193C"/>
    <w:rsid w:val="00F92ED1"/>
    <w:rsid w:val="00FB0E86"/>
    <w:rsid w:val="00FB6EC2"/>
    <w:rsid w:val="01257DDA"/>
    <w:rsid w:val="017F49BE"/>
    <w:rsid w:val="02CD757C"/>
    <w:rsid w:val="036B7A2F"/>
    <w:rsid w:val="046063D3"/>
    <w:rsid w:val="04DC2960"/>
    <w:rsid w:val="05194C10"/>
    <w:rsid w:val="05CD1092"/>
    <w:rsid w:val="05EF122C"/>
    <w:rsid w:val="068F1F19"/>
    <w:rsid w:val="086F56BE"/>
    <w:rsid w:val="08815682"/>
    <w:rsid w:val="090B2132"/>
    <w:rsid w:val="095D5956"/>
    <w:rsid w:val="09BE11B4"/>
    <w:rsid w:val="0A025689"/>
    <w:rsid w:val="0B823BCE"/>
    <w:rsid w:val="0BF3277C"/>
    <w:rsid w:val="0CA044D6"/>
    <w:rsid w:val="0D0E67D9"/>
    <w:rsid w:val="0D321C3F"/>
    <w:rsid w:val="0D5372B2"/>
    <w:rsid w:val="0F1A694A"/>
    <w:rsid w:val="0FAD2CAA"/>
    <w:rsid w:val="104E6D46"/>
    <w:rsid w:val="112957E7"/>
    <w:rsid w:val="12824D51"/>
    <w:rsid w:val="12E94936"/>
    <w:rsid w:val="136B5C3A"/>
    <w:rsid w:val="136D4B39"/>
    <w:rsid w:val="14AB7CFC"/>
    <w:rsid w:val="15555DA4"/>
    <w:rsid w:val="169D4B82"/>
    <w:rsid w:val="180E0310"/>
    <w:rsid w:val="180F5D63"/>
    <w:rsid w:val="1A181FB9"/>
    <w:rsid w:val="1C674213"/>
    <w:rsid w:val="1D1E569E"/>
    <w:rsid w:val="1EBC7BD5"/>
    <w:rsid w:val="206969D3"/>
    <w:rsid w:val="21C63505"/>
    <w:rsid w:val="21D35583"/>
    <w:rsid w:val="22A36211"/>
    <w:rsid w:val="2322484B"/>
    <w:rsid w:val="234F15B7"/>
    <w:rsid w:val="23F44E0F"/>
    <w:rsid w:val="24695C48"/>
    <w:rsid w:val="25235262"/>
    <w:rsid w:val="26406DE6"/>
    <w:rsid w:val="26D01B4F"/>
    <w:rsid w:val="279D5FD1"/>
    <w:rsid w:val="27AD77C0"/>
    <w:rsid w:val="287C1D82"/>
    <w:rsid w:val="293F2663"/>
    <w:rsid w:val="29400A9D"/>
    <w:rsid w:val="2A281CCA"/>
    <w:rsid w:val="2B0C4EED"/>
    <w:rsid w:val="2B8C0131"/>
    <w:rsid w:val="2D4505BF"/>
    <w:rsid w:val="2D5E3253"/>
    <w:rsid w:val="2D844526"/>
    <w:rsid w:val="2DEE0948"/>
    <w:rsid w:val="2E5270F9"/>
    <w:rsid w:val="30714421"/>
    <w:rsid w:val="3075429F"/>
    <w:rsid w:val="31A3571E"/>
    <w:rsid w:val="31B17087"/>
    <w:rsid w:val="321839F7"/>
    <w:rsid w:val="331502A5"/>
    <w:rsid w:val="332D2F86"/>
    <w:rsid w:val="335D0E3E"/>
    <w:rsid w:val="342A1FED"/>
    <w:rsid w:val="347F164B"/>
    <w:rsid w:val="34FE7347"/>
    <w:rsid w:val="35585D62"/>
    <w:rsid w:val="35CB0616"/>
    <w:rsid w:val="365423FD"/>
    <w:rsid w:val="37141057"/>
    <w:rsid w:val="372877DA"/>
    <w:rsid w:val="37D52967"/>
    <w:rsid w:val="38BE488D"/>
    <w:rsid w:val="39340D74"/>
    <w:rsid w:val="39A77CB4"/>
    <w:rsid w:val="3A682C70"/>
    <w:rsid w:val="3B85226F"/>
    <w:rsid w:val="3BB07E84"/>
    <w:rsid w:val="3DE2418D"/>
    <w:rsid w:val="3ED20604"/>
    <w:rsid w:val="3F111687"/>
    <w:rsid w:val="3F320B3A"/>
    <w:rsid w:val="3F5256A8"/>
    <w:rsid w:val="3F760BD6"/>
    <w:rsid w:val="3FF24A11"/>
    <w:rsid w:val="40173DBC"/>
    <w:rsid w:val="40541DBF"/>
    <w:rsid w:val="416C5E41"/>
    <w:rsid w:val="41A129A6"/>
    <w:rsid w:val="41DE6D8F"/>
    <w:rsid w:val="425902B9"/>
    <w:rsid w:val="43026447"/>
    <w:rsid w:val="43A54067"/>
    <w:rsid w:val="44185071"/>
    <w:rsid w:val="446A77C7"/>
    <w:rsid w:val="46A4431F"/>
    <w:rsid w:val="46F522FD"/>
    <w:rsid w:val="47133199"/>
    <w:rsid w:val="47532640"/>
    <w:rsid w:val="48612B46"/>
    <w:rsid w:val="493F2FF6"/>
    <w:rsid w:val="4A45604E"/>
    <w:rsid w:val="4AE445A0"/>
    <w:rsid w:val="4B9B7E24"/>
    <w:rsid w:val="4BA51E49"/>
    <w:rsid w:val="4C2110A0"/>
    <w:rsid w:val="4C6012B1"/>
    <w:rsid w:val="4D034DAF"/>
    <w:rsid w:val="4DAC3B21"/>
    <w:rsid w:val="4DB1337B"/>
    <w:rsid w:val="501A4192"/>
    <w:rsid w:val="508669F0"/>
    <w:rsid w:val="514C73FA"/>
    <w:rsid w:val="51B03FFD"/>
    <w:rsid w:val="52BB78A7"/>
    <w:rsid w:val="54287C6C"/>
    <w:rsid w:val="54791C7A"/>
    <w:rsid w:val="54AB74B6"/>
    <w:rsid w:val="55AF5A9E"/>
    <w:rsid w:val="55CE7592"/>
    <w:rsid w:val="566825CC"/>
    <w:rsid w:val="57382FF1"/>
    <w:rsid w:val="57CF7BD0"/>
    <w:rsid w:val="58114390"/>
    <w:rsid w:val="585121D0"/>
    <w:rsid w:val="590A22F2"/>
    <w:rsid w:val="59DA50C6"/>
    <w:rsid w:val="5A1C08F6"/>
    <w:rsid w:val="5A930952"/>
    <w:rsid w:val="5C5057B9"/>
    <w:rsid w:val="5D437D2E"/>
    <w:rsid w:val="5D9B58E5"/>
    <w:rsid w:val="5DD40546"/>
    <w:rsid w:val="5E605BBD"/>
    <w:rsid w:val="5ECC743B"/>
    <w:rsid w:val="603B0596"/>
    <w:rsid w:val="60A20EF4"/>
    <w:rsid w:val="61745FC1"/>
    <w:rsid w:val="61906697"/>
    <w:rsid w:val="61A84491"/>
    <w:rsid w:val="61D81265"/>
    <w:rsid w:val="61EB4DB4"/>
    <w:rsid w:val="64D86177"/>
    <w:rsid w:val="65DC556A"/>
    <w:rsid w:val="66261EE3"/>
    <w:rsid w:val="66633175"/>
    <w:rsid w:val="669D0A5F"/>
    <w:rsid w:val="671B1725"/>
    <w:rsid w:val="672B02F1"/>
    <w:rsid w:val="67DC0A03"/>
    <w:rsid w:val="6901211F"/>
    <w:rsid w:val="69950145"/>
    <w:rsid w:val="6A8776C9"/>
    <w:rsid w:val="6B323762"/>
    <w:rsid w:val="6BAC53E8"/>
    <w:rsid w:val="6F662168"/>
    <w:rsid w:val="707031E9"/>
    <w:rsid w:val="70CE15AA"/>
    <w:rsid w:val="716501F1"/>
    <w:rsid w:val="716A7665"/>
    <w:rsid w:val="725054F3"/>
    <w:rsid w:val="726026CC"/>
    <w:rsid w:val="726B174C"/>
    <w:rsid w:val="72944700"/>
    <w:rsid w:val="738C598F"/>
    <w:rsid w:val="740526D8"/>
    <w:rsid w:val="74156FFF"/>
    <w:rsid w:val="7539539D"/>
    <w:rsid w:val="75B30A0C"/>
    <w:rsid w:val="75C356FC"/>
    <w:rsid w:val="75D2624F"/>
    <w:rsid w:val="764F4F89"/>
    <w:rsid w:val="76D64F73"/>
    <w:rsid w:val="771A39E8"/>
    <w:rsid w:val="776C1F07"/>
    <w:rsid w:val="78530F51"/>
    <w:rsid w:val="797E3F97"/>
    <w:rsid w:val="79D3262E"/>
    <w:rsid w:val="7A797BB3"/>
    <w:rsid w:val="7B2F0E48"/>
    <w:rsid w:val="7BEF058D"/>
    <w:rsid w:val="7C315985"/>
    <w:rsid w:val="7C46787A"/>
    <w:rsid w:val="7C5D1D72"/>
    <w:rsid w:val="7D3F23E9"/>
    <w:rsid w:val="7E1959C6"/>
    <w:rsid w:val="7E284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9">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0475339990785"/>
          <c:y val="0.112749072046468"/>
          <c:w val="0.687861271676302"/>
          <c:h val="0.783185840707959"/>
        </c:manualLayout>
      </c:layout>
      <c:barChart>
        <c:barDir val="col"/>
        <c:grouping val="clustered"/>
        <c:varyColors val="0"/>
        <c:ser>
          <c:idx val="0"/>
          <c:order val="0"/>
          <c:tx>
            <c:strRef>
              <c:f>Sheet1!$A$2</c:f>
              <c:strCache>
                <c:ptCount val="1"/>
                <c:pt idx="0">
                  <c:v>行政</c:v>
                </c:pt>
              </c:strCache>
            </c:strRef>
          </c:tx>
          <c:spPr>
            <a:solidFill>
              <a:srgbClr val="9999FF"/>
            </a:solidFill>
            <a:ln w="12700">
              <a:solidFill>
                <a:srgbClr val="000000"/>
              </a:solidFill>
              <a:prstDash val="solid"/>
            </a:ln>
          </c:spPr>
          <c:invertIfNegative val="0"/>
          <c:dLbls>
            <c:delete val="1"/>
          </c:dLbls>
          <c:cat>
            <c:strRef>
              <c:f>Sheet1!$B$1:$C$1</c:f>
              <c:strCache>
                <c:ptCount val="2"/>
                <c:pt idx="0">
                  <c:v>部门人员编制数</c:v>
                </c:pt>
                <c:pt idx="1">
                  <c:v>实有人数</c:v>
                </c:pt>
              </c:strCache>
            </c:strRef>
          </c:cat>
          <c:val>
            <c:numRef>
              <c:f>Sheet1!$B$2:$C$2</c:f>
              <c:numCache>
                <c:formatCode>General</c:formatCode>
                <c:ptCount val="2"/>
                <c:pt idx="0">
                  <c:v>27</c:v>
                </c:pt>
                <c:pt idx="1">
                  <c:v>27</c:v>
                </c:pt>
              </c:numCache>
            </c:numRef>
          </c:val>
        </c:ser>
        <c:ser>
          <c:idx val="1"/>
          <c:order val="1"/>
          <c:tx>
            <c:strRef>
              <c:f>Sheet1!$A$3</c:f>
              <c:strCache>
                <c:ptCount val="1"/>
                <c:pt idx="0">
                  <c:v>事业</c:v>
                </c:pt>
              </c:strCache>
            </c:strRef>
          </c:tx>
          <c:spPr>
            <a:solidFill>
              <a:srgbClr val="993366"/>
            </a:solidFill>
            <a:ln w="12700">
              <a:solidFill>
                <a:srgbClr val="000000"/>
              </a:solidFill>
              <a:prstDash val="solid"/>
            </a:ln>
          </c:spPr>
          <c:invertIfNegative val="0"/>
          <c:dLbls>
            <c:delete val="1"/>
          </c:dLbls>
          <c:cat>
            <c:strRef>
              <c:f>Sheet1!$B$1:$C$1</c:f>
              <c:strCache>
                <c:ptCount val="2"/>
                <c:pt idx="0">
                  <c:v>部门人员编制数</c:v>
                </c:pt>
                <c:pt idx="1">
                  <c:v>实有人数</c:v>
                </c:pt>
              </c:strCache>
            </c:strRef>
          </c:cat>
          <c:val>
            <c:numRef>
              <c:f>Sheet1!$B$3:$C$3</c:f>
              <c:numCache>
                <c:formatCode>General</c:formatCode>
                <c:ptCount val="2"/>
                <c:pt idx="0">
                  <c:v>135</c:v>
                </c:pt>
                <c:pt idx="1">
                  <c:v>121</c:v>
                </c:pt>
              </c:numCache>
            </c:numRef>
          </c:val>
        </c:ser>
        <c:dLbls>
          <c:showLegendKey val="0"/>
          <c:showVal val="0"/>
          <c:showCatName val="0"/>
          <c:showSerName val="0"/>
          <c:showPercent val="0"/>
          <c:showBubbleSize val="0"/>
        </c:dLbls>
        <c:gapWidth val="150"/>
        <c:axId val="134692864"/>
        <c:axId val="134694400"/>
      </c:barChart>
      <c:catAx>
        <c:axId val="134692864"/>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4694400"/>
        <c:crosses val="autoZero"/>
        <c:auto val="1"/>
        <c:lblAlgn val="ctr"/>
        <c:lblOffset val="100"/>
        <c:tickLblSkip val="1"/>
        <c:noMultiLvlLbl val="0"/>
      </c:catAx>
      <c:valAx>
        <c:axId val="13469440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469286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5260115606936"/>
          <c:y val="0.411504424778761"/>
          <c:w val="0.153179190751446"/>
          <c:h val="0.18141592920354"/>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收入情况</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其他收入</c:v>
                </c:pt>
              </c:strCache>
            </c:strRef>
          </c:cat>
          <c:val>
            <c:numRef>
              <c:f>Sheet1!$B$2:$B$3</c:f>
              <c:numCache>
                <c:formatCode>0.00%</c:formatCode>
                <c:ptCount val="2"/>
                <c:pt idx="0">
                  <c:v>0.960800000000001</c:v>
                </c:pt>
                <c:pt idx="1">
                  <c:v>0.0392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0.760400000000001</c:v>
                </c:pt>
                <c:pt idx="1">
                  <c:v>0.2396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5507</Words>
  <Characters>5700</Characters>
  <Lines>47</Lines>
  <Paragraphs>22</Paragraphs>
  <TotalTime>2</TotalTime>
  <ScaleCrop>false</ScaleCrop>
  <LinksUpToDate>false</LinksUpToDate>
  <CharactersWithSpaces>11185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2019-08-28T07:22:00Z</dcterms:created>
  <dc:creator>Lenovo</dc:creator>
  <cp:lastModifiedBy>0.0</cp:lastModifiedBy>
  <cp:lastPrinted>2020-10-28T08:10:00Z</cp:lastPrinted>
  <dcterms:modified xsi:type="dcterms:W3CDTF">2020-10-30T07:28:18Z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