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商洛市财政局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7年度政府信息公开年度报告</w:t>
      </w:r>
    </w:p>
    <w:p>
      <w:pPr>
        <w:widowControl/>
        <w:spacing w:line="44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本年度报告是根据《中华人民共和国政府信息公开条例》（以</w:t>
      </w:r>
      <w:r>
        <w:rPr>
          <w:rFonts w:hint="eastAsia" w:ascii="仿宋_GB2312" w:hAnsi="仿宋" w:eastAsia="仿宋_GB2312" w:cs="宋体"/>
          <w:spacing w:val="4"/>
          <w:kern w:val="0"/>
          <w:sz w:val="32"/>
          <w:szCs w:val="32"/>
        </w:rPr>
        <w:t>下简称《条例》）和商洛市人民政府办公室《关于做好2017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年度政府信息公开年度报告编制工作的通知》(商政办函〔</w:t>
      </w:r>
      <w:r>
        <w:rPr>
          <w:rFonts w:hint="eastAsia" w:ascii="仿宋_GB2312" w:hAnsi="仿宋" w:eastAsia="仿宋_GB2312" w:cs="宋体"/>
          <w:spacing w:val="4"/>
          <w:kern w:val="0"/>
          <w:sz w:val="32"/>
          <w:szCs w:val="32"/>
        </w:rPr>
        <w:t>2018〕36号)等相关规定和要求编制。本报告由概述、主动公开政府信息情况、依申请公开政府信息情况、咨询和投诉处理情况、因政府信息公开申请行政复议和提起行政诉讼及申诉情况、政府信息公开的收费及减免情况、存在的主要问题和改进措施等内容。本报告中所列数据的统计期限自2017年1月1日起至2017年12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月31日止。本报告电子版可在商洛市财政局门户网(http://czj.shangluo.gov.cn)政府信息公开栏下载。如对本报告有疑问，请与商洛市财政局办公室联系(地址：商洛市商州区工农路12号，邮编：726000，电话：0914-2312636，传真：0914-2388502)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 xml:space="preserve">一、概述 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2017年度，市财政局政府信息公开工作，在市委、市政府的正确领导下，在市政府信息化办的具体指导下，以深入推进“两学一做”学习教育常态化制度化为契机，深入学习贯彻党的十九大、省第十三次党代会、市委四届二次、三次全会以及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习近平总书记系列重要讲话精神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按照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市委、市政府加快“追赶超越”和打好“五大攻坚战”的部署要求，</w:t>
      </w:r>
      <w:r>
        <w:rPr>
          <w:rFonts w:hint="eastAsia" w:ascii="仿宋_GB2312" w:hAnsi="仿宋" w:eastAsia="仿宋_GB2312"/>
          <w:sz w:val="32"/>
          <w:szCs w:val="32"/>
        </w:rPr>
        <w:t>坚持稳中求进工作总基调，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落实积极的财政政策，</w:t>
      </w:r>
      <w:r>
        <w:rPr>
          <w:rFonts w:hint="eastAsia" w:ascii="仿宋_GB2312" w:hAnsi="仿宋" w:eastAsia="仿宋_GB2312" w:cs="宋体"/>
          <w:sz w:val="32"/>
          <w:szCs w:val="32"/>
        </w:rPr>
        <w:t>千方百计抓收入，全力以赴保增长，尽心竭力惠民生，</w:t>
      </w:r>
      <w:r>
        <w:rPr>
          <w:rFonts w:hint="eastAsia" w:ascii="仿宋_GB2312" w:hAnsi="仿宋" w:eastAsia="仿宋_GB2312"/>
          <w:sz w:val="32"/>
          <w:szCs w:val="32"/>
        </w:rPr>
        <w:t>创新财政投入方式，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大力推进供给侧结构性改革，</w:t>
      </w:r>
      <w:r>
        <w:rPr>
          <w:rFonts w:hint="eastAsia" w:ascii="仿宋_GB2312" w:hAnsi="仿宋" w:eastAsia="仿宋_GB2312"/>
          <w:sz w:val="32"/>
          <w:szCs w:val="32"/>
        </w:rPr>
        <w:t>财政预算执行情况良好，较好地完成了全年各项目标任务。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加强领导，统筹安排部署政府信息公开工作。我局成立了以局长为组长的政府信息公开工作领导小组，对政府信息公开工作落实了专人负责，并进一步完善了政务公开各项制度，确保政府信息公开工作持续良好开展。坚持考核评估，强化监督，健全完善监督机制，使我局政府信息公开工作进一步规范化、制度化。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（二）夯实责任，推动政府信息公开工作有序开展。我局明确了局属各单位、机关各科室政府信息公开工作职责，明确专职人员进行信息公开报送，制定了《商洛市财政局政府信息公开工作实施办法》，对信息公开时限、公开的内容、信息报审程序、报审依据、信息发布、信息备案、申请办理、登记归档等作出规定，并严格执行。同时，根据本部门特点，制定完善推进政府信息公开工作的相关措施，明确实施政府信息公开的范围、形式、公开程序，以及信息更新的责任科室、更新周期、更新方式等，确保政府信息公开工作取得实效。 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（三）突出重点，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积极推进部门预决算和“三公经费”预决算公开工作。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2017年，市县两级继续全面推进预决算信息公开，主动接受社会监督。除涉密规定外，市县两级通过本部门（单位）官方网站、市（县区）政府门户网站或其他公开媒体渠道，主动向社会公开了部门预决算相关信息，其中市本级公开的部门预算单位71个，决算单位72个。市县两级均已实现政府预算、部门预算、“三公”经费预算的全覆盖、全公开。同时，我局政府信息公开还通过财政门户网站、报纸、宣传栏等方式进行。实现公众网上查询，进一步方便群众办事，还通过财政门户网站设立政务公开栏目、投诉邮箱和举报电话等方式，不断满足公众对</w:t>
      </w:r>
      <w:r>
        <w:rPr>
          <w:rFonts w:hint="eastAsia" w:ascii="仿宋_GB2312" w:hAnsi="仿宋" w:eastAsia="仿宋_GB2312" w:cs="宋体"/>
          <w:spacing w:val="-6"/>
          <w:kern w:val="0"/>
          <w:sz w:val="32"/>
          <w:szCs w:val="32"/>
        </w:rPr>
        <w:t>政府信息公开的需求。畅通政务公开投诉监督电话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（0914-2312636）及时受理社会各界投诉。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 xml:space="preserve">二、主动公开政府信息情况 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(一)主动公开政府信息的数量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1、局门户网站。截止2017年底，我局网站共新增发布各类信息841条。  </w:t>
      </w:r>
    </w:p>
    <w:p>
      <w:pPr>
        <w:pBdr>
          <w:bottom w:val="single" w:color="FFFFFF" w:sz="4" w:space="27"/>
        </w:pBdr>
        <w:spacing w:line="560" w:lineRule="exact"/>
        <w:ind w:firstLine="72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2、政务微博。截至2017年底，新浪政务微博累计发布信息86条，粉丝276人。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(二)局门户网站主动公开的政府信息类别及所占比重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在局门户网站主动公开的信息中，通知公告类17条，占比约2.02%; 工作动态类217条，占比约25.81%;政府信息公开类185条，占比约22%;机关建设类33条,占比约3.92%;政策法规类36条，占比约4.28%;互动交流类14条，占比约1.66%;会计管理类20条，占比约2.38%;热点专题类35条，占比约4.16%;转载中省财经新闻284条，占比约33.77%。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三、依申请公开政府信息情况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2017年，我局继续履行政府信息公开申请受理义务，不断完善规范依申请公开的受理、审查、处理、答复程序。截止目前，我局没有接到依申请公开的事项。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四、咨询和投诉处理情况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2017年我局没有发生政府信息咨询、投诉事项。</w:t>
      </w:r>
    </w:p>
    <w:p>
      <w:pPr>
        <w:pBdr>
          <w:bottom w:val="single" w:color="FFFFFF" w:sz="4" w:space="27"/>
        </w:pBdr>
        <w:spacing w:line="560" w:lineRule="exact"/>
        <w:ind w:firstLine="624" w:firstLineChars="200"/>
        <w:jc w:val="left"/>
        <w:outlineLvl w:val="0"/>
        <w:rPr>
          <w:rFonts w:ascii="黑体" w:hAnsi="仿宋" w:eastAsia="黑体" w:cs="宋体"/>
          <w:spacing w:val="-4"/>
          <w:kern w:val="0"/>
          <w:sz w:val="32"/>
          <w:szCs w:val="32"/>
        </w:rPr>
      </w:pPr>
      <w:r>
        <w:rPr>
          <w:rFonts w:hint="eastAsia" w:ascii="黑体" w:hAnsi="仿宋" w:eastAsia="黑体" w:cs="宋体"/>
          <w:spacing w:val="-4"/>
          <w:kern w:val="0"/>
          <w:sz w:val="32"/>
          <w:szCs w:val="32"/>
        </w:rPr>
        <w:t>五、因政府信息公开申请行政复议、提起行政诉讼和申诉情况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2017年，我局没有发生因政府信息公开申请行政复议，提起行政诉讼和申诉的情况。</w:t>
      </w:r>
    </w:p>
    <w:p>
      <w:pPr>
        <w:pBdr>
          <w:bottom w:val="single" w:color="FFFFFF" w:sz="4" w:space="27"/>
        </w:pBdr>
        <w:spacing w:line="560" w:lineRule="exact"/>
        <w:ind w:firstLine="624" w:firstLineChars="200"/>
        <w:jc w:val="left"/>
        <w:outlineLvl w:val="0"/>
        <w:rPr>
          <w:rFonts w:ascii="黑体" w:hAnsi="仿宋" w:eastAsia="黑体" w:cs="宋体"/>
          <w:spacing w:val="-4"/>
          <w:kern w:val="0"/>
          <w:sz w:val="32"/>
          <w:szCs w:val="32"/>
        </w:rPr>
      </w:pPr>
      <w:r>
        <w:rPr>
          <w:rFonts w:hint="eastAsia" w:ascii="黑体" w:hAnsi="仿宋" w:eastAsia="黑体" w:cs="宋体"/>
          <w:spacing w:val="-4"/>
          <w:kern w:val="0"/>
          <w:sz w:val="32"/>
          <w:szCs w:val="32"/>
        </w:rPr>
        <w:t>六、政府信息公开的收费及减免情况</w:t>
      </w:r>
    </w:p>
    <w:p>
      <w:pPr>
        <w:pBdr>
          <w:bottom w:val="single" w:color="FFFFFF" w:sz="4" w:space="27"/>
        </w:pBdr>
        <w:spacing w:line="560" w:lineRule="exact"/>
        <w:ind w:firstLine="640" w:firstLineChars="200"/>
        <w:jc w:val="left"/>
        <w:outlineLvl w:val="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目前我局未收取任何相关费用。</w:t>
      </w:r>
    </w:p>
    <w:p>
      <w:pPr>
        <w:pBdr>
          <w:bottom w:val="single" w:color="FFFFFF" w:sz="4" w:space="27"/>
        </w:pBdr>
        <w:spacing w:line="560" w:lineRule="exact"/>
        <w:ind w:firstLine="624" w:firstLineChars="200"/>
        <w:jc w:val="left"/>
        <w:outlineLvl w:val="0"/>
        <w:rPr>
          <w:rFonts w:hint="eastAsia" w:ascii="黑体" w:hAnsi="仿宋" w:eastAsia="黑体" w:cs="宋体"/>
          <w:spacing w:val="-4"/>
          <w:kern w:val="0"/>
          <w:sz w:val="32"/>
          <w:szCs w:val="32"/>
        </w:rPr>
      </w:pPr>
      <w:r>
        <w:rPr>
          <w:rFonts w:hint="eastAsia" w:ascii="黑体" w:hAnsi="仿宋" w:eastAsia="黑体" w:cs="宋体"/>
          <w:spacing w:val="-4"/>
          <w:kern w:val="0"/>
          <w:sz w:val="32"/>
          <w:szCs w:val="32"/>
        </w:rPr>
        <w:t>七、存在的主要问题和改进措施</w:t>
      </w:r>
    </w:p>
    <w:p>
      <w:pPr>
        <w:pBdr>
          <w:bottom w:val="single" w:color="FFFFFF" w:sz="4" w:space="27"/>
        </w:pBdr>
        <w:spacing w:line="560" w:lineRule="exact"/>
        <w:ind w:firstLine="656" w:firstLineChars="200"/>
        <w:outlineLvl w:val="0"/>
        <w:rPr>
          <w:rFonts w:ascii="黑体" w:hAnsi="仿宋" w:eastAsia="黑体" w:cs="宋体"/>
          <w:spacing w:val="-4"/>
          <w:kern w:val="0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2017年，市财政局政府信息公开工作取得了一定的成</w:t>
      </w:r>
      <w:r>
        <w:rPr>
          <w:rFonts w:hint="eastAsia" w:ascii="仿宋_GB2312" w:eastAsia="仿宋_GB2312"/>
          <w:sz w:val="32"/>
          <w:szCs w:val="32"/>
        </w:rPr>
        <w:t>绩，但与市委、市政府的要求和社会、群众的需求还存在一定的差距，主要是信息公开的广度和深度还有待进一步加强，信息公开的内容、形式和载体还有待进一步丰富，信息报送的实效和质量还有待进一步提高。新的一年，我局将继续认真落实国家和省市政府信息公开工作要求，进一步健全信息公开机制，规范信息工作流程，深化信息公开内容，创新信息公开渠道，强化信息公开指导，不断推进政府信息公开工作，切实提升政府信息公开的效果和水平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701" w:right="1474" w:bottom="158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11469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7A"/>
    <w:rsid w:val="000051FF"/>
    <w:rsid w:val="000240AA"/>
    <w:rsid w:val="0005541D"/>
    <w:rsid w:val="00081FF4"/>
    <w:rsid w:val="000B74C9"/>
    <w:rsid w:val="000E484C"/>
    <w:rsid w:val="001357AC"/>
    <w:rsid w:val="001421D3"/>
    <w:rsid w:val="001438E7"/>
    <w:rsid w:val="001E4BFB"/>
    <w:rsid w:val="00273DF2"/>
    <w:rsid w:val="002B1F18"/>
    <w:rsid w:val="00354843"/>
    <w:rsid w:val="003718B9"/>
    <w:rsid w:val="003A1791"/>
    <w:rsid w:val="0041387A"/>
    <w:rsid w:val="00462668"/>
    <w:rsid w:val="004845C2"/>
    <w:rsid w:val="004A1C45"/>
    <w:rsid w:val="004B427E"/>
    <w:rsid w:val="005121D5"/>
    <w:rsid w:val="00514263"/>
    <w:rsid w:val="00570BBA"/>
    <w:rsid w:val="005775F1"/>
    <w:rsid w:val="005B24A6"/>
    <w:rsid w:val="005E4E4C"/>
    <w:rsid w:val="006112DB"/>
    <w:rsid w:val="006359B5"/>
    <w:rsid w:val="006C43C7"/>
    <w:rsid w:val="00757F50"/>
    <w:rsid w:val="008179C9"/>
    <w:rsid w:val="008417EA"/>
    <w:rsid w:val="00863984"/>
    <w:rsid w:val="0094107C"/>
    <w:rsid w:val="00947861"/>
    <w:rsid w:val="00A64EAC"/>
    <w:rsid w:val="00A65514"/>
    <w:rsid w:val="00AA1425"/>
    <w:rsid w:val="00B929A4"/>
    <w:rsid w:val="00BB0917"/>
    <w:rsid w:val="00BF122A"/>
    <w:rsid w:val="00C37C64"/>
    <w:rsid w:val="00C42495"/>
    <w:rsid w:val="00C6426B"/>
    <w:rsid w:val="00C6796F"/>
    <w:rsid w:val="00CF701D"/>
    <w:rsid w:val="00D45AEA"/>
    <w:rsid w:val="00DF0FFC"/>
    <w:rsid w:val="00E6788D"/>
    <w:rsid w:val="00EF71A9"/>
    <w:rsid w:val="00F0489A"/>
    <w:rsid w:val="00F37F73"/>
    <w:rsid w:val="0CB77945"/>
    <w:rsid w:val="0F1407F9"/>
    <w:rsid w:val="16281FFD"/>
    <w:rsid w:val="163E4CB9"/>
    <w:rsid w:val="19C351C1"/>
    <w:rsid w:val="19F15A0D"/>
    <w:rsid w:val="21023708"/>
    <w:rsid w:val="2D465BAD"/>
    <w:rsid w:val="2DD25AEA"/>
    <w:rsid w:val="30C27D28"/>
    <w:rsid w:val="32E07A1A"/>
    <w:rsid w:val="348A0705"/>
    <w:rsid w:val="36064728"/>
    <w:rsid w:val="3CB70791"/>
    <w:rsid w:val="56A3671A"/>
    <w:rsid w:val="663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kern w:val="2"/>
      <w:sz w:val="18"/>
      <w:szCs w:val="18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513B5-BBA8-46AD-8D63-ED77F4F49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349</Words>
  <Characters>1992</Characters>
  <Lines>16</Lines>
  <Paragraphs>4</Paragraphs>
  <TotalTime>0</TotalTime>
  <ScaleCrop>false</ScaleCrop>
  <LinksUpToDate>false</LinksUpToDate>
  <CharactersWithSpaces>2337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2018-03-13T01:05:00Z</dcterms:created>
  <dc:creator>user1003</dc:creator>
  <cp:lastModifiedBy>商山遗老</cp:lastModifiedBy>
  <cp:lastPrinted>2018-03-13T01:59:00Z</cp:lastPrinted>
  <dcterms:modified xsi:type="dcterms:W3CDTF">2018-03-13T02:29:27Z</dcterms:modified>
  <dc:title>商洛市财政局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