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jc w:val="center"/>
        <w:rPr>
          <w:rFonts w:hint="eastAsia"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商洛市公安局商丹循环工业经济</w:t>
      </w:r>
    </w:p>
    <w:p>
      <w:pPr>
        <w:widowControl/>
        <w:jc w:val="center"/>
        <w:rPr>
          <w:rFonts w:hint="eastAsia"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园区分局</w:t>
      </w:r>
    </w:p>
    <w:p>
      <w:pPr>
        <w:widowControl/>
        <w:jc w:val="center"/>
        <w:rPr>
          <w:rFonts w:hint="eastAsia" w:ascii="方正小标宋简体" w:hAnsi="方正小标宋简体" w:eastAsia="方正小标宋简体" w:cs="方正小标宋简体"/>
          <w:b/>
          <w:kern w:val="0"/>
          <w:sz w:val="52"/>
          <w:szCs w:val="52"/>
        </w:rPr>
      </w:pPr>
      <w:r>
        <w:rPr>
          <w:rFonts w:hint="eastAsia" w:ascii="方正小标宋简体" w:hAnsi="方正小标宋简体" w:eastAsia="方正小标宋简体" w:cs="方正小标宋简体"/>
          <w:b/>
          <w:kern w:val="0"/>
          <w:sz w:val="52"/>
          <w:szCs w:val="52"/>
        </w:rPr>
        <w:t>2021 年部门决算</w:t>
      </w:r>
    </w:p>
    <w:p>
      <w:pPr>
        <w:widowControl/>
        <w:jc w:val="center"/>
        <w:rPr>
          <w:rFonts w:ascii="黑体" w:hAnsi="黑体" w:eastAsia="黑体" w:cs="黑体"/>
          <w:kern w:val="0"/>
          <w:sz w:val="72"/>
          <w:szCs w:val="72"/>
        </w:rPr>
      </w:pPr>
    </w:p>
    <w:p>
      <w:pPr>
        <w:widowControl/>
        <w:jc w:val="center"/>
        <w:rPr>
          <w:rFonts w:ascii="黑体" w:hAnsi="黑体" w:eastAsia="黑体" w:cs="黑体"/>
          <w:kern w:val="0"/>
          <w:sz w:val="72"/>
          <w:szCs w:val="7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bookmarkStart w:id="0" w:name="_GoBack"/>
      <w:bookmarkEnd w:id="0"/>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700" w:lineRule="exact"/>
        <w:ind w:firstLine="1800" w:firstLineChars="6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rPr>
        <w:t>保密审查情况：</w:t>
      </w:r>
      <w:r>
        <w:rPr>
          <w:rFonts w:hint="eastAsia" w:ascii="黑体" w:hAnsi="黑体" w:eastAsia="黑体" w:cs="黑体"/>
          <w:sz w:val="30"/>
          <w:szCs w:val="30"/>
          <w:lang w:val="en-US" w:eastAsia="zh-CN"/>
        </w:rPr>
        <w:t>已审查</w:t>
      </w:r>
    </w:p>
    <w:p>
      <w:pPr>
        <w:keepNext w:val="0"/>
        <w:keepLines w:val="0"/>
        <w:pageBreakBefore w:val="0"/>
        <w:widowControl/>
        <w:kinsoku/>
        <w:wordWrap/>
        <w:overflowPunct/>
        <w:topLinePunct w:val="0"/>
        <w:autoSpaceDE/>
        <w:autoSpaceDN/>
        <w:bidi w:val="0"/>
        <w:adjustRightInd/>
        <w:snapToGrid/>
        <w:spacing w:line="700" w:lineRule="exact"/>
        <w:ind w:firstLine="1800" w:firstLineChars="600"/>
        <w:jc w:val="both"/>
        <w:textAlignment w:val="auto"/>
        <w:rPr>
          <w:rFonts w:hint="default" w:ascii="黑体" w:hAnsi="黑体" w:eastAsia="黑体" w:cs="黑体"/>
          <w:kern w:val="0"/>
          <w:sz w:val="30"/>
          <w:szCs w:val="30"/>
          <w:lang w:val="en-US" w:eastAsia="zh-CN"/>
        </w:rPr>
      </w:pPr>
      <w:r>
        <w:rPr>
          <w:rFonts w:hint="eastAsia" w:ascii="黑体" w:hAnsi="黑体" w:eastAsia="黑体" w:cs="黑体"/>
          <w:sz w:val="30"/>
          <w:szCs w:val="30"/>
        </w:rPr>
        <w:t>部门主要负责人审签情况：</w:t>
      </w:r>
      <w:r>
        <w:rPr>
          <w:rFonts w:hint="eastAsia" w:ascii="黑体" w:hAnsi="黑体" w:eastAsia="黑体" w:cs="黑体"/>
          <w:sz w:val="30"/>
          <w:szCs w:val="30"/>
          <w:lang w:val="en-US" w:eastAsia="zh-CN"/>
        </w:rPr>
        <w:t>已审签</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仿宋_GB2312" w:hAnsi="仿宋_GB2312" w:eastAsia="仿宋_GB2312" w:cs="仿宋_GB2312"/>
          <w:kern w:val="0"/>
          <w:sz w:val="32"/>
          <w:szCs w:val="32"/>
        </w:rPr>
      </w:pPr>
    </w:p>
    <w:p>
      <w:pPr>
        <w:widowControl/>
        <w:spacing w:line="560" w:lineRule="exact"/>
        <w:jc w:val="both"/>
        <w:rPr>
          <w:rFonts w:hint="eastAsia" w:ascii="黑体" w:hAnsi="黑体" w:eastAsia="黑体" w:cs="黑体"/>
          <w:bCs/>
          <w:kern w:val="0"/>
          <w:sz w:val="32"/>
          <w:szCs w:val="32"/>
        </w:rPr>
      </w:pPr>
    </w:p>
    <w:p>
      <w:pPr>
        <w:widowControl/>
        <w:spacing w:line="560" w:lineRule="exact"/>
        <w:jc w:val="center"/>
        <w:rPr>
          <w:rFonts w:hint="eastAsia" w:ascii="黑体" w:hAnsi="黑体" w:eastAsia="黑体" w:cs="黑体"/>
          <w:bCs/>
          <w:kern w:val="0"/>
          <w:sz w:val="32"/>
          <w:szCs w:val="32"/>
        </w:rPr>
      </w:pPr>
      <w:r>
        <w:rPr>
          <w:rFonts w:hint="eastAsia" w:ascii="黑体" w:hAnsi="黑体" w:eastAsia="黑体" w:cs="黑体"/>
          <w:bCs/>
          <w:kern w:val="0"/>
          <w:sz w:val="32"/>
          <w:szCs w:val="32"/>
        </w:rPr>
        <w:t>目 录</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第一部分 部门概况</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一、部门主要职责及内设机构</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二、部门决算单位构成</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三、部门人员情况</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第二部分 202</w:t>
      </w:r>
      <w:r>
        <w:rPr>
          <w:rFonts w:hint="eastAsia" w:ascii="方正小标宋简体" w:hAnsi="方正小标宋简体" w:eastAsia="方正小标宋简体" w:cs="方正小标宋简体"/>
          <w:bCs/>
          <w:kern w:val="0"/>
          <w:sz w:val="32"/>
          <w:szCs w:val="32"/>
          <w:lang w:val="en-US" w:eastAsia="zh-CN"/>
        </w:rPr>
        <w:t>1</w:t>
      </w:r>
      <w:r>
        <w:rPr>
          <w:rFonts w:hint="eastAsia" w:ascii="方正小标宋简体" w:hAnsi="方正小标宋简体" w:eastAsia="方正小标宋简体" w:cs="方正小标宋简体"/>
          <w:bCs/>
          <w:kern w:val="0"/>
          <w:sz w:val="32"/>
          <w:szCs w:val="32"/>
        </w:rPr>
        <w:t>年部门决算表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一、收入支出决算总表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二、收入决算总表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三、支出决算总表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四、财政拨款收入支出决算总表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五、一般公共预算财政拨款支出决算表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六、一般公共预算财政拨款基本支出决算表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七、一般公共预算财政拨款“三公”经费及会议费、培训费</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支出决算表</w:t>
      </w:r>
    </w:p>
    <w:p>
      <w:pPr>
        <w:widowControl/>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八、政府性基金预算财政拨款收入支出决算表</w:t>
      </w:r>
    </w:p>
    <w:p>
      <w:pPr>
        <w:widowControl/>
        <w:spacing w:line="560" w:lineRule="exac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九、</w:t>
      </w:r>
      <w:r>
        <w:rPr>
          <w:rFonts w:hint="eastAsia" w:ascii="仿宋_GB2312" w:hAnsi="仿宋_GB2312" w:eastAsia="仿宋_GB2312" w:cs="仿宋_GB2312"/>
          <w:color w:val="000000"/>
          <w:kern w:val="0"/>
          <w:sz w:val="32"/>
          <w:szCs w:val="32"/>
        </w:rPr>
        <w:t>国有资本经营预算财政拨款支出决算表</w:t>
      </w:r>
    </w:p>
    <w:p>
      <w:pPr>
        <w:widowControl/>
        <w:spacing w:line="560" w:lineRule="exact"/>
        <w:jc w:val="center"/>
        <w:rPr>
          <w:rFonts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第三部分 202</w:t>
      </w:r>
      <w:r>
        <w:rPr>
          <w:rFonts w:hint="eastAsia" w:ascii="方正小标宋简体" w:hAnsi="方正小标宋简体" w:eastAsia="方正小标宋简体" w:cs="方正小标宋简体"/>
          <w:bCs/>
          <w:kern w:val="0"/>
          <w:sz w:val="32"/>
          <w:szCs w:val="32"/>
          <w:lang w:val="en-US" w:eastAsia="zh-CN"/>
        </w:rPr>
        <w:t>1</w:t>
      </w:r>
      <w:r>
        <w:rPr>
          <w:rFonts w:hint="eastAsia" w:ascii="方正小标宋简体" w:hAnsi="方正小标宋简体" w:eastAsia="方正小标宋简体" w:cs="方正小标宋简体"/>
          <w:bCs/>
          <w:kern w:val="0"/>
          <w:sz w:val="32"/>
          <w:szCs w:val="32"/>
        </w:rPr>
        <w:t>年部门决算情况说明</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一、收入支出决算总体情况说明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二、收入决算情况说明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三、支出决算情况说明    </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四、财政拨款收入支出决算总体情况说明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五、一般公共预算财政拨款支出决算情况说明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六、一般公共预算财政拨款基本支出决算情况说明   </w:t>
      </w:r>
    </w:p>
    <w:p>
      <w:pPr>
        <w:widowControl/>
        <w:ind w:left="640" w:hanging="640" w:hanging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七、一般公共预算财政拨款“三公”经费及会议费、培训费支出决算情况说明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八、政府性基金预算财政拨款收入支出情况说明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九、国有资本经营财政拨款收入支出情况说明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十、机关运行经费支出情况说明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十一、政府采购支出情况说明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十二、国有资产占用及购置情况说明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十三、预算绩效情况说明 </w:t>
      </w:r>
    </w:p>
    <w:p>
      <w:pPr>
        <w:widowControl/>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第四部分 专业名词解释</w:t>
      </w:r>
    </w:p>
    <w:p>
      <w:pPr>
        <w:widowControl/>
        <w:spacing w:line="560" w:lineRule="exact"/>
        <w:jc w:val="left"/>
        <w:rPr>
          <w:rFonts w:ascii="方正小标宋简体" w:hAnsi="方正小标宋简体" w:eastAsia="方正小标宋简体" w:cs="方正小标宋简体"/>
          <w:kern w:val="0"/>
          <w:sz w:val="32"/>
          <w:szCs w:val="32"/>
        </w:rPr>
      </w:pPr>
    </w:p>
    <w:p>
      <w:pPr>
        <w:widowControl/>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第一部分 部门概况</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一、部门主要职责及内设机构</w:t>
      </w:r>
    </w:p>
    <w:p>
      <w:pPr>
        <w:widowControl/>
        <w:ind w:firstLine="640" w:firstLineChars="200"/>
        <w:rPr>
          <w:rFonts w:ascii="黑体" w:hAnsi="黑体" w:eastAsia="黑体" w:cs="黑体"/>
          <w:kern w:val="0"/>
          <w:sz w:val="32"/>
          <w:szCs w:val="32"/>
        </w:rPr>
      </w:pPr>
      <w:r>
        <w:rPr>
          <w:rFonts w:ascii="黑体" w:hAnsi="黑体" w:eastAsia="黑体" w:cs="黑体"/>
          <w:kern w:val="0"/>
          <w:sz w:val="32"/>
          <w:szCs w:val="32"/>
        </w:rPr>
        <w:t>（一）主要职责</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1、负责商丹园区接报警和指挥处警工作；负责授权的警务指挥及协调工作；负责园区公安情报信息的收集、汇总和研判工作；负责调查研究和起草重要文件工作；负责机要、通信等工作；维护社会治安秩序，制止危害社会治安秩序的行为；</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2、负责商丹园区内的刑事侦查、反恐怖和文物犯罪侦查工作；负责刑事科学技术工作</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3、管理园区治安管理、户政管理、出入境管理等工作；负责车站、广场、街道和校园周边及田野文物保护等社会面的巡逻防控工作；负责对公共场所、特种行业的管理，依法对社会上吸毒、卖淫嫖娼等违法活动进行治理；负责突发事件处置等工作；</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4、负责公安政治工作；负责公安纪检、监察、督察、审计工作；负责维护民警合法权益工作；</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5、管理园区公安法制方面的工作，进行审核案件，针对企业进行宣传法律常识；接待园区公安信访等工作；</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6、对商丹园区辖区内治安巡逻防控、警戒处置突发性事件及执行其他特殊任务等工作；</w:t>
      </w:r>
    </w:p>
    <w:p>
      <w:pPr>
        <w:spacing w:beforeLines="0" w:afterLines="0" w:line="560" w:lineRule="exact"/>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7、管理园区分局机关财务管理、资产管理、警务保障及后勤服务等工作。</w:t>
      </w:r>
    </w:p>
    <w:p>
      <w:pPr>
        <w:widowControl/>
        <w:ind w:firstLine="640" w:firstLineChars="200"/>
        <w:rPr>
          <w:rFonts w:hint="default" w:ascii="黑体" w:hAnsi="黑体" w:eastAsia="黑体" w:cs="黑体"/>
          <w:kern w:val="0"/>
          <w:sz w:val="32"/>
          <w:szCs w:val="32"/>
        </w:rPr>
      </w:pP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内设机构</w:t>
      </w:r>
    </w:p>
    <w:p>
      <w:pPr>
        <w:widowControl/>
        <w:spacing w:beforeLines="0" w:afterLines="0"/>
        <w:ind w:firstLine="640" w:firstLineChars="200"/>
        <w:rPr>
          <w:rFonts w:hint="default" w:ascii="仿宋_GB2312" w:hAnsi="仿宋" w:eastAsia="仿宋_GB2312" w:cs="宋体"/>
          <w:kern w:val="0"/>
          <w:sz w:val="32"/>
          <w:szCs w:val="32"/>
        </w:rPr>
      </w:pPr>
      <w:r>
        <w:rPr>
          <w:rFonts w:hint="eastAsia" w:ascii="仿宋_GB2312" w:hAnsi="仿宋" w:eastAsia="仿宋_GB2312" w:cs="宋体"/>
          <w:kern w:val="0"/>
          <w:sz w:val="32"/>
          <w:szCs w:val="32"/>
        </w:rPr>
        <w:t>公安高新分局内设1个综合管理机构（即：政工监察室），5个执法勤务机构（具体包括：指挥中心、刑事侦查大队、治安管理大队、巡特警大队、法制大队），1个派出机构（即：丹南派出所）。</w:t>
      </w:r>
    </w:p>
    <w:p>
      <w:pPr>
        <w:widowControl/>
        <w:ind w:firstLine="643" w:firstLineChars="200"/>
        <w:rPr>
          <w:rFonts w:ascii="黑体" w:hAnsi="黑体" w:eastAsia="黑体" w:cs="黑体"/>
          <w:b/>
          <w:kern w:val="0"/>
          <w:sz w:val="32"/>
          <w:szCs w:val="32"/>
        </w:rPr>
      </w:pPr>
      <w:r>
        <w:rPr>
          <w:rFonts w:ascii="黑体" w:hAnsi="黑体" w:eastAsia="黑体" w:cs="黑体"/>
          <w:b/>
          <w:kern w:val="0"/>
          <w:sz w:val="32"/>
          <w:szCs w:val="32"/>
        </w:rPr>
        <w:t>二、部门决算单位构成</w:t>
      </w:r>
    </w:p>
    <w:p>
      <w:pPr>
        <w:widowControl/>
        <w:numPr>
          <w:ilvl w:val="0"/>
          <w:numId w:val="0"/>
        </w:numPr>
        <w:spacing w:beforeLines="0" w:afterLines="0" w:line="56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纳入本部门2021年部门决算编制范围的单位共1个，包括本级及所属</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个下级单位。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jc w:val="center"/>
              <w:rPr>
                <w:rFonts w:hint="default" w:ascii="仿宋_GB2312" w:hAnsi="仿宋_GB2312" w:eastAsia="仿宋_GB2312" w:cs="仿宋_GB2312"/>
                <w:kern w:val="0"/>
                <w:sz w:val="28"/>
                <w:szCs w:val="28"/>
              </w:rPr>
            </w:pPr>
            <w:r>
              <w:rPr>
                <w:rFonts w:hint="eastAsia" w:ascii="仿宋_GB2312" w:eastAsia="仿宋_GB2312"/>
                <w:kern w:val="0"/>
                <w:sz w:val="32"/>
                <w:szCs w:val="32"/>
              </w:rPr>
              <w:t>序号</w:t>
            </w:r>
          </w:p>
        </w:tc>
        <w:tc>
          <w:tcPr>
            <w:tcW w:w="661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jc w:val="center"/>
              <w:rPr>
                <w:rFonts w:hint="default" w:ascii="仿宋_GB2312" w:hAnsi="仿宋_GB2312" w:eastAsia="仿宋_GB2312" w:cs="仿宋_GB2312"/>
                <w:kern w:val="0"/>
                <w:sz w:val="28"/>
                <w:szCs w:val="28"/>
              </w:rPr>
            </w:pPr>
            <w:r>
              <w:rPr>
                <w:rFonts w:hint="eastAsia" w:ascii="仿宋_GB2312" w:eastAsia="仿宋_GB2312"/>
                <w:kern w:val="0"/>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jc w:val="center"/>
              <w:rPr>
                <w:rFonts w:hint="default" w:ascii="仿宋_GB2312" w:hAnsi="仿宋_GB2312" w:eastAsia="仿宋_GB2312" w:cs="仿宋_GB2312"/>
                <w:kern w:val="0"/>
                <w:sz w:val="28"/>
                <w:szCs w:val="28"/>
              </w:rPr>
            </w:pPr>
            <w:r>
              <w:rPr>
                <w:rFonts w:hint="eastAsia" w:ascii="仿宋_GB2312" w:eastAsia="仿宋_GB2312"/>
                <w:kern w:val="0"/>
                <w:sz w:val="32"/>
                <w:szCs w:val="32"/>
              </w:rPr>
              <w:t>1</w:t>
            </w:r>
          </w:p>
        </w:tc>
        <w:tc>
          <w:tcPr>
            <w:tcW w:w="661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beforeLines="0" w:afterLines="0"/>
              <w:jc w:val="left"/>
              <w:rPr>
                <w:rFonts w:hint="default" w:ascii="仿宋_GB2312" w:hAnsi="仿宋_GB2312" w:eastAsia="仿宋_GB2312" w:cs="仿宋_GB2312"/>
                <w:kern w:val="0"/>
                <w:sz w:val="28"/>
                <w:szCs w:val="28"/>
              </w:rPr>
            </w:pPr>
            <w:r>
              <w:rPr>
                <w:rFonts w:hint="eastAsia" w:ascii="仿宋_GB2312" w:eastAsia="仿宋_GB2312"/>
                <w:kern w:val="0"/>
                <w:sz w:val="32"/>
                <w:szCs w:val="32"/>
              </w:rPr>
              <w:t>商洛市公安局商丹循环工业经济园区分局</w:t>
            </w:r>
          </w:p>
        </w:tc>
      </w:tr>
    </w:tbl>
    <w:p>
      <w:pPr>
        <w:spacing w:beforeLines="0" w:afterLines="0" w:line="560" w:lineRule="exact"/>
        <w:ind w:firstLine="643" w:firstLineChars="200"/>
        <w:rPr>
          <w:rFonts w:hint="default" w:ascii="黑体" w:hAnsi="黑体" w:eastAsia="黑体" w:cs="黑体"/>
          <w:b/>
          <w:kern w:val="0"/>
          <w:sz w:val="32"/>
          <w:szCs w:val="32"/>
        </w:rPr>
      </w:pPr>
      <w:r>
        <w:rPr>
          <w:rFonts w:hint="eastAsia" w:ascii="黑体" w:hAnsi="黑体" w:eastAsia="黑体" w:cs="黑体"/>
          <w:b/>
          <w:kern w:val="0"/>
          <w:sz w:val="32"/>
          <w:szCs w:val="32"/>
        </w:rPr>
        <w:t>三、部门人员情况</w:t>
      </w:r>
    </w:p>
    <w:p>
      <w:pPr>
        <w:widowControl/>
        <w:spacing w:beforeLines="0" w:afterLines="0"/>
        <w:ind w:firstLine="640" w:firstLineChars="200"/>
        <w:rPr>
          <w:rFonts w:hint="default" w:ascii="仿宋_GB2312" w:eastAsia="仿宋_GB2312"/>
          <w:kern w:val="0"/>
          <w:sz w:val="32"/>
          <w:szCs w:val="32"/>
        </w:rPr>
      </w:pPr>
      <w:r>
        <w:rPr>
          <w:rFonts w:hint="eastAsia" w:ascii="仿宋_GB2312" w:eastAsia="仿宋_GB2312"/>
          <w:kern w:val="0"/>
          <w:sz w:val="32"/>
          <w:szCs w:val="32"/>
        </w:rPr>
        <w:t>截止2021年底</w:t>
      </w:r>
      <w:r>
        <w:rPr>
          <w:rFonts w:hint="default" w:ascii="仿宋_GB2312" w:eastAsia="仿宋_GB2312"/>
          <w:kern w:val="0"/>
          <w:sz w:val="32"/>
          <w:szCs w:val="32"/>
        </w:rPr>
        <w:t>,</w:t>
      </w:r>
      <w:r>
        <w:rPr>
          <w:rFonts w:hint="eastAsia" w:ascii="仿宋_GB2312" w:eastAsia="仿宋_GB2312"/>
          <w:kern w:val="0"/>
          <w:sz w:val="32"/>
          <w:szCs w:val="32"/>
        </w:rPr>
        <w:t>本部门人员编制40人</w:t>
      </w:r>
      <w:r>
        <w:rPr>
          <w:rFonts w:hint="default" w:ascii="仿宋_GB2312" w:eastAsia="仿宋_GB2312"/>
          <w:kern w:val="0"/>
          <w:sz w:val="32"/>
          <w:szCs w:val="32"/>
        </w:rPr>
        <w:t>,</w:t>
      </w:r>
      <w:r>
        <w:rPr>
          <w:rFonts w:hint="eastAsia" w:ascii="仿宋_GB2312" w:eastAsia="仿宋_GB2312"/>
          <w:kern w:val="0"/>
          <w:sz w:val="32"/>
          <w:szCs w:val="32"/>
        </w:rPr>
        <w:t>其中行政编制40人、事业编制</w:t>
      </w:r>
      <w:r>
        <w:rPr>
          <w:rFonts w:hint="default" w:ascii="仿宋_GB2312" w:eastAsia="仿宋_GB2312"/>
          <w:kern w:val="0"/>
          <w:sz w:val="32"/>
          <w:szCs w:val="32"/>
        </w:rPr>
        <w:t>0</w:t>
      </w:r>
      <w:r>
        <w:rPr>
          <w:rFonts w:hint="eastAsia" w:ascii="仿宋_GB2312" w:eastAsia="仿宋_GB2312"/>
          <w:kern w:val="0"/>
          <w:sz w:val="32"/>
          <w:szCs w:val="32"/>
        </w:rPr>
        <w:t>人;实有人员37人</w:t>
      </w:r>
      <w:r>
        <w:rPr>
          <w:rFonts w:hint="default" w:ascii="仿宋_GB2312" w:eastAsia="仿宋_GB2312"/>
          <w:kern w:val="0"/>
          <w:sz w:val="32"/>
          <w:szCs w:val="32"/>
        </w:rPr>
        <w:t>,</w:t>
      </w:r>
      <w:r>
        <w:rPr>
          <w:rFonts w:hint="eastAsia" w:ascii="仿宋_GB2312" w:eastAsia="仿宋_GB2312"/>
          <w:kern w:val="0"/>
          <w:sz w:val="32"/>
          <w:szCs w:val="32"/>
        </w:rPr>
        <w:t>其中行政37人、事业</w:t>
      </w:r>
      <w:r>
        <w:rPr>
          <w:rFonts w:hint="default" w:ascii="仿宋_GB2312" w:eastAsia="仿宋_GB2312"/>
          <w:kern w:val="0"/>
          <w:sz w:val="32"/>
          <w:szCs w:val="32"/>
        </w:rPr>
        <w:t>0</w:t>
      </w:r>
      <w:r>
        <w:rPr>
          <w:rFonts w:hint="eastAsia" w:ascii="仿宋_GB2312" w:eastAsia="仿宋_GB2312"/>
          <w:kern w:val="0"/>
          <w:sz w:val="32"/>
          <w:szCs w:val="32"/>
        </w:rPr>
        <w:t>人</w:t>
      </w:r>
      <w:r>
        <w:rPr>
          <w:rFonts w:hint="default" w:ascii="仿宋_GB2312" w:eastAsia="仿宋_GB2312"/>
          <w:kern w:val="0"/>
          <w:sz w:val="32"/>
          <w:szCs w:val="32"/>
        </w:rPr>
        <w:t>,</w:t>
      </w:r>
      <w:r>
        <w:rPr>
          <w:rFonts w:hint="eastAsia" w:ascii="仿宋_GB2312" w:eastAsia="仿宋_GB2312"/>
          <w:kern w:val="0"/>
          <w:sz w:val="32"/>
          <w:szCs w:val="32"/>
        </w:rPr>
        <w:t>单位管理的离退休人员1人。</w:t>
      </w:r>
    </w:p>
    <w:p>
      <w:pPr>
        <w:widowControl/>
        <w:spacing w:beforeLines="0" w:afterLines="0"/>
        <w:ind w:firstLine="640" w:firstLineChars="200"/>
      </w:pPr>
      <w:r>
        <w:rPr>
          <w:rFonts w:hint="default" w:ascii="仿宋_GB2312" w:eastAsia="仿宋_GB2312"/>
          <w:kern w:val="0"/>
          <w:sz w:val="32"/>
          <w:szCs w:val="32"/>
        </w:rPr>
        <w:drawing>
          <wp:inline distT="0" distB="0" distL="114300" distR="114300">
            <wp:extent cx="4590415" cy="2749550"/>
            <wp:effectExtent l="0" t="0" r="635" b="12700"/>
            <wp:docPr id="9" name="图表 1"/>
            <wp:cNvGraphicFramePr/>
            <a:graphic xmlns:a="http://schemas.openxmlformats.org/drawingml/2006/main">
              <a:graphicData uri="http://schemas.openxmlformats.org/drawingml/2006/picture">
                <pic:pic xmlns:pic="http://schemas.openxmlformats.org/drawingml/2006/picture">
                  <pic:nvPicPr>
                    <pic:cNvPr id="9" name="图表 1"/>
                    <pic:cNvPicPr/>
                  </pic:nvPicPr>
                  <pic:blipFill>
                    <a:blip r:embed="rId5"/>
                    <a:stretch>
                      <a:fillRect/>
                    </a:stretch>
                  </pic:blipFill>
                  <pic:spPr>
                    <a:xfrm>
                      <a:off x="0" y="0"/>
                      <a:ext cx="4590415" cy="2749550"/>
                    </a:xfrm>
                    <a:prstGeom prst="rect">
                      <a:avLst/>
                    </a:prstGeom>
                    <a:noFill/>
                    <a:ln>
                      <a:noFill/>
                    </a:ln>
                  </pic:spPr>
                </pic:pic>
              </a:graphicData>
            </a:graphic>
          </wp:inline>
        </w:drawing>
      </w:r>
    </w:p>
    <w:p>
      <w:pPr>
        <w:numPr>
          <w:ilvl w:val="0"/>
          <w:numId w:val="1"/>
        </w:numPr>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 xml:space="preserve"> 2021 年度部门决算表</w:t>
      </w:r>
    </w:p>
    <w:p>
      <w:pPr>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年度部门决算表公开内容详见附件）</w:t>
      </w:r>
    </w:p>
    <w:p>
      <w:pPr>
        <w:spacing w:line="560" w:lineRule="exact"/>
        <w:jc w:val="center"/>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bCs/>
          <w:kern w:val="0"/>
          <w:sz w:val="32"/>
          <w:szCs w:val="32"/>
        </w:rPr>
        <w:t xml:space="preserve">    第三部分  2021 年部门决算情况说明</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 xml:space="preserve">一、收入支出决算总体情况说明 </w:t>
      </w:r>
      <w:r>
        <w:rPr>
          <w:rFonts w:hint="eastAsia" w:ascii="黑体" w:hAnsi="黑体" w:eastAsia="黑体" w:cs="黑体"/>
          <w:color w:val="FF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2021年收入</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lang w:eastAsia="zh-CN"/>
        </w:rPr>
        <w:t>2,124.76</w:t>
      </w:r>
      <w:r>
        <w:rPr>
          <w:rFonts w:ascii="仿宋_GB2312" w:hAnsi="仿宋_GB2312" w:eastAsia="仿宋_GB2312" w:cs="仿宋_GB2312"/>
          <w:sz w:val="32"/>
          <w:szCs w:val="32"/>
        </w:rPr>
        <w:t>万元，包括</w:t>
      </w:r>
      <w:r>
        <w:rPr>
          <w:rFonts w:hint="eastAsia" w:ascii="仿宋_GB2312" w:hAnsi="仿宋_GB2312" w:eastAsia="仿宋_GB2312" w:cs="仿宋_GB2312"/>
          <w:sz w:val="32"/>
          <w:szCs w:val="32"/>
        </w:rPr>
        <w:t>年初结转和结余</w:t>
      </w:r>
      <w:r>
        <w:rPr>
          <w:rFonts w:hint="eastAsia" w:ascii="仿宋_GB2312" w:hAnsi="仿宋_GB2312" w:eastAsia="仿宋_GB2312" w:cs="仿宋_GB2312"/>
          <w:sz w:val="32"/>
          <w:szCs w:val="32"/>
          <w:lang w:eastAsia="zh-CN"/>
        </w:rPr>
        <w:t>197.70万元，本年收入合计1,927.06万元。本年收入总计较上年增加108.85 万元，增加5.40 %，主要原因</w:t>
      </w:r>
      <w:r>
        <w:rPr>
          <w:rFonts w:hint="eastAsia" w:ascii="仿宋_GB2312" w:hAnsi="仿宋_GB2312" w:eastAsia="仿宋_GB2312" w:cs="仿宋_GB2312"/>
          <w:sz w:val="32"/>
          <w:szCs w:val="32"/>
          <w:lang w:val="en-US" w:eastAsia="zh-CN"/>
        </w:rPr>
        <w:t>是园区财政、区财政拨付的业务经费增加。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2021年支出总计2,124.76万元，其中本年支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lang w:eastAsia="zh-CN"/>
        </w:rPr>
        <w:t>1,906.98万元，年末结转资金217.78万元。本年支出总计较上年增加108.85 万元，增加5.40 %，主要原因</w:t>
      </w:r>
      <w:r>
        <w:rPr>
          <w:rFonts w:hint="eastAsia" w:ascii="仿宋_GB2312" w:hAnsi="仿宋_GB2312" w:eastAsia="仿宋_GB2312" w:cs="仿宋_GB2312"/>
          <w:sz w:val="32"/>
          <w:szCs w:val="32"/>
          <w:lang w:val="en-US" w:eastAsia="zh-CN"/>
        </w:rPr>
        <w:t>是上年结转的反恐缉毒、装备费等专项资金纳入本年预算管理按原资金用途支付。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仿宋_GB2312" w:hAnsi="仿宋_GB2312" w:eastAsia="仿宋_GB2312" w:cs="仿宋_GB2312"/>
          <w:sz w:val="32"/>
          <w:szCs w:val="32"/>
        </w:rPr>
      </w:pPr>
      <w:r>
        <w:drawing>
          <wp:inline distT="0" distB="0" distL="114300" distR="114300">
            <wp:extent cx="4474210" cy="2785745"/>
            <wp:effectExtent l="0" t="0" r="2540" b="1460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6"/>
                    <a:stretch>
                      <a:fillRect/>
                    </a:stretch>
                  </pic:blipFill>
                  <pic:spPr>
                    <a:xfrm>
                      <a:off x="0" y="0"/>
                      <a:ext cx="4474210" cy="2785745"/>
                    </a:xfrm>
                    <a:prstGeom prst="rect">
                      <a:avLst/>
                    </a:prstGeom>
                    <a:noFill/>
                    <a:ln>
                      <a:noFill/>
                    </a:ln>
                  </pic:spPr>
                </pic:pic>
              </a:graphicData>
            </a:graphic>
          </wp:inline>
        </w:drawing>
      </w:r>
    </w:p>
    <w:p>
      <w:pPr>
        <w:spacing w:line="56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 xml:space="preserve">二、收入决算情况说明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2021年收</w:t>
      </w:r>
      <w:r>
        <w:rPr>
          <w:rFonts w:ascii="仿宋_GB2312" w:hAnsi="仿宋_GB2312" w:eastAsia="仿宋_GB2312" w:cs="仿宋_GB2312"/>
          <w:sz w:val="32"/>
          <w:szCs w:val="32"/>
        </w:rPr>
        <w:t>入总计</w:t>
      </w:r>
      <w:r>
        <w:rPr>
          <w:rFonts w:hint="eastAsia" w:ascii="仿宋_GB2312" w:hAnsi="仿宋_GB2312" w:eastAsia="仿宋_GB2312" w:cs="仿宋_GB2312"/>
          <w:sz w:val="32"/>
          <w:szCs w:val="32"/>
          <w:lang w:eastAsia="zh-CN"/>
        </w:rPr>
        <w:t>1,927.06</w:t>
      </w:r>
      <w:r>
        <w:rPr>
          <w:rFonts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t>其中：财政拨款收入</w:t>
      </w:r>
      <w:r>
        <w:rPr>
          <w:rFonts w:hint="eastAsia" w:ascii="仿宋_GB2312" w:hAnsi="仿宋_GB2312" w:eastAsia="仿宋_GB2312" w:cs="仿宋_GB2312"/>
          <w:color w:val="000000"/>
          <w:sz w:val="32"/>
          <w:szCs w:val="32"/>
          <w:lang w:eastAsia="zh-CN"/>
        </w:rPr>
        <w:t>992.23</w:t>
      </w:r>
      <w:r>
        <w:rPr>
          <w:rFonts w:hint="eastAsia" w:ascii="仿宋_GB2312" w:hAnsi="仿宋_GB2312" w:eastAsia="仿宋_GB2312" w:cs="仿宋_GB2312"/>
          <w:color w:val="000000"/>
          <w:sz w:val="32"/>
          <w:szCs w:val="32"/>
        </w:rPr>
        <w:t>万元，占本年总收入的</w:t>
      </w:r>
      <w:r>
        <w:rPr>
          <w:rFonts w:hint="eastAsia" w:ascii="仿宋_GB2312" w:hAnsi="仿宋_GB2312" w:eastAsia="仿宋_GB2312" w:cs="仿宋_GB2312"/>
          <w:color w:val="000000"/>
          <w:sz w:val="32"/>
          <w:szCs w:val="32"/>
          <w:lang w:eastAsia="zh-CN"/>
        </w:rPr>
        <w:t xml:space="preserve">51.49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eastAsia="zh-CN"/>
        </w:rPr>
        <w:t>934.83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 xml:space="preserve">48.51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sz w:val="32"/>
          <w:szCs w:val="32"/>
        </w:rPr>
      </w:pPr>
      <w:r>
        <w:drawing>
          <wp:inline distT="0" distB="0" distL="114300" distR="114300">
            <wp:extent cx="4024630" cy="2703830"/>
            <wp:effectExtent l="0" t="0" r="13970" b="127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7"/>
                    <a:stretch>
                      <a:fillRect/>
                    </a:stretch>
                  </pic:blipFill>
                  <pic:spPr>
                    <a:xfrm>
                      <a:off x="0" y="0"/>
                      <a:ext cx="4024630" cy="27038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color w:val="FF0000"/>
          <w:sz w:val="32"/>
          <w:szCs w:val="32"/>
        </w:rPr>
      </w:pPr>
      <w:r>
        <w:rPr>
          <w:rFonts w:hint="eastAsia" w:ascii="黑体" w:hAnsi="黑体" w:eastAsia="黑体"/>
          <w:bCs/>
          <w:color w:val="000000"/>
          <w:kern w:val="0"/>
          <w:sz w:val="32"/>
          <w:szCs w:val="32"/>
        </w:rPr>
        <w:t xml:space="preserve">三、支出决算情况说明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2021年支出合计</w:t>
      </w:r>
      <w:r>
        <w:rPr>
          <w:rFonts w:hint="eastAsia" w:ascii="仿宋_GB2312" w:hAnsi="仿宋_GB2312" w:eastAsia="仿宋_GB2312" w:cs="仿宋_GB2312"/>
          <w:sz w:val="32"/>
          <w:szCs w:val="32"/>
          <w:lang w:eastAsia="zh-CN"/>
        </w:rPr>
        <w:t>1,906.98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1,204.66</w:t>
      </w:r>
      <w:r>
        <w:rPr>
          <w:rFonts w:hint="eastAsia" w:ascii="仿宋_GB2312" w:hAnsi="仿宋_GB2312" w:eastAsia="仿宋_GB2312" w:cs="仿宋_GB2312"/>
          <w:sz w:val="32"/>
          <w:szCs w:val="32"/>
        </w:rPr>
        <w:t>万元，占本年总支出的</w:t>
      </w:r>
      <w:r>
        <w:rPr>
          <w:rFonts w:hint="eastAsia" w:ascii="仿宋_GB2312" w:hAnsi="仿宋_GB2312" w:eastAsia="仿宋_GB2312" w:cs="仿宋_GB2312"/>
          <w:sz w:val="32"/>
          <w:szCs w:val="32"/>
          <w:lang w:eastAsia="zh-CN"/>
        </w:rPr>
        <w:t xml:space="preserve">63.17 </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702.32</w:t>
      </w:r>
      <w:r>
        <w:rPr>
          <w:rFonts w:hint="eastAsia" w:ascii="仿宋_GB2312" w:hAnsi="仿宋_GB2312" w:eastAsia="仿宋_GB2312" w:cs="仿宋_GB2312"/>
          <w:sz w:val="32"/>
          <w:szCs w:val="32"/>
        </w:rPr>
        <w:t>万元，占本年总支出的</w:t>
      </w:r>
      <w:r>
        <w:rPr>
          <w:rFonts w:hint="eastAsia" w:ascii="仿宋_GB2312" w:hAnsi="仿宋_GB2312" w:eastAsia="仿宋_GB2312" w:cs="仿宋_GB2312"/>
          <w:sz w:val="32"/>
          <w:szCs w:val="32"/>
          <w:lang w:eastAsia="zh-CN"/>
        </w:rPr>
        <w:t xml:space="preserve">36.83 </w:t>
      </w:r>
      <w:r>
        <w:rPr>
          <w:rFonts w:hint="eastAsia" w:ascii="仿宋_GB2312" w:hAnsi="仿宋_GB2312" w:eastAsia="仿宋_GB2312" w:cs="仿宋_GB2312"/>
          <w:sz w:val="32"/>
          <w:szCs w:val="32"/>
        </w:rPr>
        <w:t>%，</w:t>
      </w:r>
      <w:r>
        <w:rPr>
          <w:rFonts w:hint="eastAsia" w:ascii="仿宋_GB2312" w:hAnsi="仿宋" w:eastAsia="仿宋_GB2312"/>
          <w:sz w:val="32"/>
          <w:szCs w:val="32"/>
        </w:rPr>
        <w:t>主要是为完成特定工作任务，在基本支出之外发生的支出，包括执法办案工作、特别业务工作、其他公安支出工作、其他公共安全支出工作、辅警支出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经营支出0万元，占本年总支出的0%。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仿宋_GB2312" w:hAnsi="仿宋_GB2312" w:eastAsia="仿宋_GB2312" w:cs="仿宋_GB2312"/>
          <w:sz w:val="32"/>
          <w:szCs w:val="32"/>
          <w:lang w:val="en-US" w:eastAsia="zh-CN"/>
        </w:rPr>
      </w:pPr>
      <w:r>
        <w:drawing>
          <wp:inline distT="0" distB="0" distL="114300" distR="114300">
            <wp:extent cx="4413250" cy="2633345"/>
            <wp:effectExtent l="0" t="0" r="6350" b="1460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8"/>
                    <a:stretch>
                      <a:fillRect/>
                    </a:stretch>
                  </pic:blipFill>
                  <pic:spPr>
                    <a:xfrm>
                      <a:off x="0" y="0"/>
                      <a:ext cx="4413250" cy="2633345"/>
                    </a:xfrm>
                    <a:prstGeom prst="rect">
                      <a:avLst/>
                    </a:prstGeom>
                    <a:noFill/>
                    <a:ln>
                      <a:noFill/>
                    </a:ln>
                  </pic:spPr>
                </pic:pic>
              </a:graphicData>
            </a:graphic>
          </wp:inline>
        </w:drawing>
      </w:r>
    </w:p>
    <w:p>
      <w:pPr>
        <w:spacing w:line="560" w:lineRule="exact"/>
        <w:ind w:firstLine="640" w:firstLineChars="200"/>
        <w:jc w:val="left"/>
        <w:rPr>
          <w:rFonts w:ascii="黑体" w:hAnsi="黑体" w:eastAsia="黑体"/>
          <w:b/>
          <w:color w:val="FF0000"/>
          <w:kern w:val="0"/>
          <w:sz w:val="32"/>
          <w:szCs w:val="32"/>
          <w:highlight w:val="lightGray"/>
        </w:rPr>
      </w:pPr>
      <w:r>
        <w:rPr>
          <w:rFonts w:hint="eastAsia" w:ascii="黑体" w:hAnsi="黑体" w:eastAsia="黑体"/>
          <w:bCs/>
          <w:color w:val="000000"/>
          <w:kern w:val="0"/>
          <w:sz w:val="32"/>
          <w:szCs w:val="32"/>
        </w:rPr>
        <w:t xml:space="preserve">四、财政拨款收入支出决算总体情况说明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2021年财政拨款收</w:t>
      </w:r>
      <w:r>
        <w:rPr>
          <w:rFonts w:ascii="仿宋_GB2312" w:hAnsi="仿宋_GB2312" w:eastAsia="仿宋_GB2312" w:cs="仿宋_GB2312"/>
          <w:sz w:val="32"/>
          <w:szCs w:val="32"/>
        </w:rPr>
        <w:t>入总计</w:t>
      </w:r>
      <w:r>
        <w:rPr>
          <w:rFonts w:hint="eastAsia" w:ascii="仿宋_GB2312" w:hAnsi="仿宋_GB2312" w:eastAsia="仿宋_GB2312" w:cs="仿宋_GB2312"/>
          <w:sz w:val="32"/>
          <w:szCs w:val="32"/>
          <w:lang w:eastAsia="zh-CN"/>
        </w:rPr>
        <w:t>1,126.69</w:t>
      </w:r>
      <w:r>
        <w:rPr>
          <w:rFonts w:ascii="仿宋_GB2312" w:hAnsi="仿宋_GB2312" w:eastAsia="仿宋_GB2312" w:cs="仿宋_GB2312"/>
          <w:sz w:val="32"/>
          <w:szCs w:val="32"/>
        </w:rPr>
        <w:t>万元，包括本年</w:t>
      </w:r>
      <w:r>
        <w:rPr>
          <w:rFonts w:hint="eastAsia" w:ascii="仿宋_GB2312" w:hAnsi="仿宋_GB2312" w:eastAsia="仿宋_GB2312" w:cs="仿宋_GB2312"/>
          <w:sz w:val="32"/>
          <w:szCs w:val="32"/>
        </w:rPr>
        <w:t>一般公共预算财政拨款</w:t>
      </w:r>
      <w:r>
        <w:rPr>
          <w:rFonts w:hint="eastAsia" w:ascii="仿宋_GB2312" w:hAnsi="仿宋_GB2312" w:eastAsia="仿宋_GB2312" w:cs="仿宋_GB2312"/>
          <w:sz w:val="32"/>
          <w:szCs w:val="32"/>
          <w:lang w:eastAsia="zh-CN"/>
        </w:rPr>
        <w:t>992.23</w:t>
      </w:r>
      <w:r>
        <w:rPr>
          <w:rFonts w:hint="eastAsia" w:ascii="仿宋_GB2312" w:hAnsi="仿宋_GB2312" w:eastAsia="仿宋_GB2312" w:cs="仿宋_GB2312"/>
          <w:sz w:val="32"/>
          <w:szCs w:val="32"/>
        </w:rPr>
        <w:t>万元，政府性基金预算财政拨款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万元，年初财政拨款结转和结余</w:t>
      </w:r>
      <w:r>
        <w:rPr>
          <w:rFonts w:hint="eastAsia" w:ascii="仿宋_GB2312" w:hAnsi="仿宋_GB2312" w:eastAsia="仿宋_GB2312" w:cs="仿宋_GB2312"/>
          <w:sz w:val="32"/>
          <w:szCs w:val="32"/>
          <w:lang w:eastAsia="zh-CN"/>
        </w:rPr>
        <w:t>134.45</w:t>
      </w:r>
      <w:r>
        <w:rPr>
          <w:rFonts w:hint="eastAsia" w:ascii="仿宋_GB2312" w:hAnsi="仿宋_GB2312" w:eastAsia="仿宋_GB2312" w:cs="仿宋_GB2312"/>
          <w:sz w:val="32"/>
          <w:szCs w:val="32"/>
        </w:rPr>
        <w:t>万元。2021年财政拨款收入总计较上年</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165.28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12.79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w:t>
      </w:r>
      <w:r>
        <w:rPr>
          <w:rFonts w:hint="eastAsia" w:ascii="仿宋_GB2312" w:hAnsi="仿宋_GB2312" w:eastAsia="仿宋_GB2312" w:cs="仿宋_GB2312"/>
          <w:sz w:val="32"/>
          <w:szCs w:val="32"/>
          <w:lang w:val="en-US" w:eastAsia="zh-CN"/>
        </w:rPr>
        <w:t>是上年结转的反恐缉毒、装备费等专项资金纳入本年预算管理按原资金用途支付，当年部分项目资金未申报支付。</w:t>
      </w:r>
    </w:p>
    <w:p>
      <w:pPr>
        <w:spacing w:line="560" w:lineRule="exact"/>
        <w:ind w:firstLine="640" w:firstLineChars="200"/>
        <w:rPr>
          <w:rFonts w:hint="eastAsia"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2021年财政拨款支出</w:t>
      </w:r>
      <w:r>
        <w:rPr>
          <w:rFonts w:ascii="仿宋_GB2312" w:hAnsi="仿宋_GB2312" w:eastAsia="仿宋_GB2312" w:cs="仿宋_GB2312"/>
          <w:sz w:val="32"/>
          <w:szCs w:val="32"/>
        </w:rPr>
        <w:t>总计</w:t>
      </w:r>
      <w:r>
        <w:rPr>
          <w:rFonts w:hint="eastAsia" w:ascii="仿宋_GB2312" w:hAnsi="仿宋_GB2312" w:eastAsia="仿宋_GB2312" w:cs="仿宋_GB2312"/>
          <w:sz w:val="32"/>
          <w:szCs w:val="32"/>
          <w:lang w:eastAsia="zh-CN"/>
        </w:rPr>
        <w:t>1,126.69</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公共安全支出996.99万元,</w:t>
      </w:r>
      <w:r>
        <w:rPr>
          <w:rFonts w:hint="eastAsia" w:ascii="仿宋_GB2312" w:hAnsi="仿宋_GB2312" w:eastAsia="仿宋_GB2312" w:cs="仿宋_GB2312"/>
          <w:sz w:val="32"/>
          <w:szCs w:val="32"/>
        </w:rPr>
        <w:t>教育支出</w:t>
      </w:r>
      <w:r>
        <w:rPr>
          <w:rFonts w:hint="eastAsia" w:ascii="仿宋_GB2312" w:hAnsi="仿宋_GB2312" w:eastAsia="仿宋_GB2312" w:cs="仿宋_GB2312"/>
          <w:sz w:val="32"/>
          <w:szCs w:val="32"/>
          <w:lang w:eastAsia="zh-CN"/>
        </w:rPr>
        <w:t>2.92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71.18</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19.38万元,</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eastAsia="zh-CN"/>
        </w:rPr>
        <w:t>36.22</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万元。2021年财政拨款支出总计较上年</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165.28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 xml:space="preserve">12.79 </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是年末结转财政拨款为0，当年部分项目资金未申报支付。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仿宋_GB2312" w:hAnsi="仿宋_GB2312" w:eastAsia="仿宋_GB2312" w:cs="仿宋_GB2312"/>
          <w:color w:val="FF0000"/>
          <w:sz w:val="32"/>
          <w:szCs w:val="32"/>
          <w:highlight w:val="green"/>
        </w:rPr>
      </w:pPr>
      <w:r>
        <w:drawing>
          <wp:inline distT="0" distB="0" distL="114300" distR="114300">
            <wp:extent cx="5270500" cy="2713990"/>
            <wp:effectExtent l="0" t="0" r="6350" b="1016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9"/>
                    <a:stretch>
                      <a:fillRect/>
                    </a:stretch>
                  </pic:blipFill>
                  <pic:spPr>
                    <a:xfrm>
                      <a:off x="0" y="0"/>
                      <a:ext cx="5270500" cy="2713990"/>
                    </a:xfrm>
                    <a:prstGeom prst="rect">
                      <a:avLst/>
                    </a:prstGeom>
                    <a:noFill/>
                    <a:ln>
                      <a:noFill/>
                    </a:ln>
                  </pic:spPr>
                </pic:pic>
              </a:graphicData>
            </a:graphic>
          </wp:inline>
        </w:drawing>
      </w:r>
    </w:p>
    <w:p>
      <w:pPr>
        <w:spacing w:line="560" w:lineRule="exact"/>
        <w:ind w:firstLine="640" w:firstLineChars="200"/>
        <w:jc w:val="left"/>
        <w:rPr>
          <w:rFonts w:ascii="黑体" w:hAnsi="黑体" w:eastAsia="黑体"/>
          <w:bCs/>
          <w:color w:val="000000"/>
          <w:kern w:val="0"/>
          <w:sz w:val="32"/>
          <w:szCs w:val="32"/>
        </w:rPr>
      </w:pPr>
      <w:r>
        <w:rPr>
          <w:rFonts w:hint="eastAsia" w:ascii="黑体" w:hAnsi="黑体" w:eastAsia="黑体"/>
          <w:bCs/>
          <w:color w:val="000000"/>
          <w:kern w:val="0"/>
          <w:sz w:val="32"/>
          <w:szCs w:val="32"/>
        </w:rPr>
        <w:t>五、一般公共预算财政拨款支出决算情况说明</w:t>
      </w:r>
    </w:p>
    <w:p>
      <w:pPr>
        <w:spacing w:line="560" w:lineRule="exact"/>
        <w:ind w:firstLine="643" w:firstLineChars="200"/>
        <w:jc w:val="left"/>
        <w:rPr>
          <w:rFonts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w:t>
      </w:r>
      <w:r>
        <w:rPr>
          <w:rFonts w:hint="eastAsia" w:ascii="楷体_GB2312" w:hAnsi="宋体" w:eastAsia="楷体_GB2312" w:cs="楷体_GB2312"/>
          <w:b/>
          <w:color w:val="000000"/>
          <w:kern w:val="0"/>
          <w:sz w:val="32"/>
          <w:szCs w:val="32"/>
        </w:rPr>
        <w:t>一般公共预算</w:t>
      </w:r>
      <w:r>
        <w:rPr>
          <w:rFonts w:ascii="楷体_GB2312" w:hAnsi="宋体" w:eastAsia="楷体_GB2312" w:cs="楷体_GB2312"/>
          <w:b/>
          <w:color w:val="000000"/>
          <w:kern w:val="0"/>
          <w:sz w:val="32"/>
          <w:szCs w:val="32"/>
        </w:rPr>
        <w:t>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2021年一般公共预算财政拨款支出</w:t>
      </w:r>
      <w:r>
        <w:rPr>
          <w:rFonts w:hint="eastAsia" w:ascii="仿宋_GB2312" w:hAnsi="仿宋_GB2312" w:eastAsia="仿宋_GB2312" w:cs="仿宋_GB2312"/>
          <w:sz w:val="32"/>
          <w:szCs w:val="32"/>
          <w:lang w:eastAsia="zh-CN"/>
        </w:rPr>
        <w:t>1,126.69</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eastAsia="zh-CN"/>
        </w:rPr>
        <w:t xml:space="preserve">59.08 </w:t>
      </w:r>
      <w:r>
        <w:rPr>
          <w:rFonts w:hint="eastAsia" w:ascii="仿宋_GB2312" w:hAnsi="仿宋_GB2312" w:eastAsia="仿宋_GB2312" w:cs="仿宋_GB2312"/>
          <w:sz w:val="32"/>
          <w:szCs w:val="32"/>
        </w:rPr>
        <w:t>%。与上年相比，财政拨款支出</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30.83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eastAsia="zh-CN"/>
        </w:rPr>
        <w:t>2.66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w:t>
      </w:r>
      <w:r>
        <w:rPr>
          <w:rFonts w:hint="eastAsia" w:ascii="仿宋_GB2312" w:hAnsi="仿宋_GB2312" w:eastAsia="仿宋_GB2312" w:cs="仿宋_GB2312"/>
          <w:sz w:val="32"/>
          <w:szCs w:val="32"/>
          <w:lang w:val="en-US" w:eastAsia="zh-CN"/>
        </w:rPr>
        <w:t>是上年结转的反恐缉毒、装备费等专项资金纳入本年预算管理按原资金用途支付，当年部分项目资金未申报支付。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仿宋_GB2312" w:hAnsi="仿宋_GB2312" w:eastAsia="仿宋_GB2312" w:cs="仿宋_GB2312"/>
          <w:sz w:val="32"/>
          <w:szCs w:val="32"/>
        </w:rPr>
      </w:pPr>
      <w:r>
        <w:drawing>
          <wp:inline distT="0" distB="0" distL="114300" distR="114300">
            <wp:extent cx="5041265" cy="3444240"/>
            <wp:effectExtent l="0" t="0" r="6985" b="381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0"/>
                    <a:stretch>
                      <a:fillRect/>
                    </a:stretch>
                  </pic:blipFill>
                  <pic:spPr>
                    <a:xfrm>
                      <a:off x="0" y="0"/>
                      <a:ext cx="5041265" cy="3444240"/>
                    </a:xfrm>
                    <a:prstGeom prst="rect">
                      <a:avLst/>
                    </a:prstGeom>
                    <a:noFill/>
                    <a:ln>
                      <a:noFill/>
                    </a:ln>
                  </pic:spPr>
                </pic:pic>
              </a:graphicData>
            </a:graphic>
          </wp:inline>
        </w:drawing>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（二）一般公共预算</w:t>
      </w:r>
      <w:r>
        <w:rPr>
          <w:rFonts w:ascii="楷体_GB2312" w:hAnsi="宋体" w:eastAsia="楷体_GB2312" w:cs="楷体_GB2312"/>
          <w:b/>
          <w:color w:val="000000"/>
          <w:kern w:val="0"/>
          <w:sz w:val="32"/>
          <w:szCs w:val="32"/>
        </w:rPr>
        <w:t>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2021年一般公共预算财政拨款支出</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预算为619.52万元，支出决算为</w:t>
      </w:r>
      <w:r>
        <w:rPr>
          <w:rFonts w:hint="eastAsia" w:ascii="仿宋_GB2312" w:hAnsi="仿宋_GB2312" w:eastAsia="仿宋_GB2312" w:cs="仿宋_GB2312"/>
          <w:sz w:val="32"/>
          <w:szCs w:val="32"/>
          <w:lang w:eastAsia="zh-CN"/>
        </w:rPr>
        <w:t>1,126.69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181.86</w:t>
      </w:r>
      <w:r>
        <w:rPr>
          <w:rFonts w:hint="eastAsia" w:ascii="仿宋_GB2312" w:hAnsi="仿宋_GB2312" w:eastAsia="仿宋_GB2312" w:cs="仿宋_GB2312"/>
          <w:sz w:val="32"/>
          <w:szCs w:val="32"/>
        </w:rPr>
        <w:t xml:space="preserve">%。按照政府功能分类科目，其中：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公共安全支出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公安</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行政运行</w:t>
      </w:r>
      <w:r>
        <w:rPr>
          <w:rFonts w:hint="eastAsia" w:ascii="仿宋_GB2312" w:hAnsi="仿宋_GB2312" w:eastAsia="仿宋_GB2312" w:cs="仿宋_GB2312"/>
          <w:sz w:val="32"/>
          <w:szCs w:val="32"/>
        </w:rPr>
        <w:t xml:space="preserve">（项）。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490.35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731.42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203.32</w:t>
      </w:r>
      <w:r>
        <w:rPr>
          <w:rFonts w:hint="eastAsia" w:ascii="仿宋_GB2312" w:hAnsi="仿宋_GB2312" w:eastAsia="仿宋_GB2312" w:cs="仿宋_GB2312"/>
          <w:sz w:val="32"/>
          <w:szCs w:val="32"/>
        </w:rPr>
        <w:t>%。决算数大于预算数的主要原因</w:t>
      </w:r>
      <w:r>
        <w:rPr>
          <w:rFonts w:hint="eastAsia" w:ascii="仿宋_GB2312" w:hAnsi="仿宋_GB2312" w:eastAsia="仿宋_GB2312" w:cs="仿宋_GB2312"/>
          <w:sz w:val="32"/>
          <w:szCs w:val="32"/>
          <w:lang w:val="en-US" w:eastAsia="zh-CN"/>
        </w:rPr>
        <w:t>是追加警务辅助人员公用经费、警务辅助人员公用经费、人民警察执勤岗位津贴、年末零调</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公共安全支出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公安</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其他公安支出</w:t>
      </w:r>
      <w:r>
        <w:rPr>
          <w:rFonts w:hint="eastAsia" w:ascii="仿宋_GB2312" w:hAnsi="仿宋_GB2312" w:eastAsia="仿宋_GB2312" w:cs="仿宋_GB2312"/>
          <w:sz w:val="32"/>
          <w:szCs w:val="32"/>
        </w:rPr>
        <w:t>（项）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265.57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%。决算数大于预算数的主要原因</w:t>
      </w:r>
      <w:r>
        <w:rPr>
          <w:rFonts w:hint="eastAsia" w:ascii="仿宋_GB2312" w:hAnsi="仿宋_GB2312" w:eastAsia="仿宋_GB2312" w:cs="仿宋_GB2312"/>
          <w:sz w:val="32"/>
          <w:szCs w:val="32"/>
          <w:lang w:val="en-US" w:eastAsia="zh-CN"/>
        </w:rPr>
        <w:t>是本年下达中省政法转移支付资金约150万，另外2020年结转的反恐专项补助、疫情防控资金、中央禁毒专项经费、修缮专项、购置专项经费本年按原资金用途予以列支</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教育支出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进修及培训</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教育支出</w:t>
      </w:r>
      <w:r>
        <w:rPr>
          <w:rFonts w:hint="eastAsia" w:ascii="仿宋_GB2312" w:hAnsi="仿宋_GB2312" w:eastAsia="仿宋_GB2312" w:cs="仿宋_GB2312"/>
          <w:sz w:val="32"/>
          <w:szCs w:val="32"/>
        </w:rPr>
        <w:t>（项）</w:t>
      </w:r>
    </w:p>
    <w:p>
      <w:pPr>
        <w:spacing w:line="560" w:lineRule="exac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   预算为</w:t>
      </w:r>
      <w:r>
        <w:rPr>
          <w:rFonts w:hint="eastAsia" w:ascii="仿宋_GB2312" w:hAnsi="仿宋_GB2312" w:eastAsia="仿宋_GB2312" w:cs="仿宋_GB2312"/>
          <w:sz w:val="32"/>
          <w:szCs w:val="32"/>
          <w:lang w:val="en-US" w:eastAsia="zh-CN"/>
        </w:rPr>
        <w:t>3.89</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eastAsia="zh-CN"/>
        </w:rPr>
        <w:t>2.92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75.06</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val="en-US" w:eastAsia="zh-CN"/>
        </w:rPr>
        <w:t>小</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val="en-US" w:eastAsia="zh-CN"/>
        </w:rPr>
        <w:t>是因疫情影响扫黑除恶专项培训规模缩小，预算有结余。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 xml:space="preserve">  机关事业单位基本养老保险缴费支出(</w:t>
      </w:r>
      <w:r>
        <w:rPr>
          <w:rFonts w:hint="eastAsia" w:ascii="仿宋_GB2312" w:hAnsi="仿宋_GB2312" w:eastAsia="仿宋_GB2312" w:cs="仿宋_GB2312"/>
          <w:sz w:val="32"/>
          <w:szCs w:val="32"/>
        </w:rPr>
        <w:t>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47.07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47.07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 xml:space="preserve">  机关事业单位职业年金缴费支出</w:t>
      </w:r>
      <w:r>
        <w:rPr>
          <w:rFonts w:hint="eastAsia" w:ascii="仿宋_GB2312" w:hAnsi="仿宋_GB2312" w:eastAsia="仿宋_GB2312" w:cs="仿宋_GB2312"/>
          <w:sz w:val="32"/>
          <w:szCs w:val="32"/>
        </w:rPr>
        <w:t>（项）</w:t>
      </w:r>
    </w:p>
    <w:p>
      <w:pPr>
        <w:spacing w:line="560" w:lineRule="exact"/>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   预算为</w:t>
      </w:r>
      <w:r>
        <w:rPr>
          <w:rFonts w:hint="eastAsia" w:ascii="仿宋_GB2312" w:hAnsi="仿宋_GB2312" w:eastAsia="仿宋_GB2312" w:cs="仿宋_GB2312"/>
          <w:sz w:val="32"/>
          <w:szCs w:val="32"/>
          <w:lang w:val="en-US" w:eastAsia="zh-CN"/>
        </w:rPr>
        <w:t>23.53</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24.11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102.46</w:t>
      </w:r>
      <w:r>
        <w:rPr>
          <w:rFonts w:hint="eastAsia" w:ascii="仿宋_GB2312" w:hAnsi="仿宋_GB2312" w:eastAsia="仿宋_GB2312" w:cs="仿宋_GB2312"/>
          <w:sz w:val="32"/>
          <w:szCs w:val="32"/>
        </w:rPr>
        <w:t>%。决算大于预算数的主要原因</w:t>
      </w:r>
      <w:r>
        <w:rPr>
          <w:rFonts w:hint="eastAsia" w:ascii="仿宋_GB2312" w:hAnsi="仿宋_GB2312" w:eastAsia="仿宋_GB2312" w:cs="仿宋_GB2312"/>
          <w:sz w:val="32"/>
          <w:szCs w:val="32"/>
          <w:lang w:val="en-US" w:eastAsia="zh-CN"/>
        </w:rPr>
        <w:t>是年末零调追加。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行政单位医疗</w:t>
      </w:r>
      <w:r>
        <w:rPr>
          <w:rFonts w:hint="eastAsia" w:ascii="仿宋_GB2312" w:hAnsi="仿宋_GB2312" w:eastAsia="仿宋_GB2312" w:cs="仿宋_GB2312"/>
          <w:sz w:val="32"/>
          <w:szCs w:val="32"/>
        </w:rPr>
        <w:t>（项）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19.38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19.38</w:t>
      </w:r>
      <w:r>
        <w:rPr>
          <w:rFonts w:hint="eastAsia" w:ascii="仿宋_GB2312" w:hAnsi="仿宋_GB2312" w:eastAsia="仿宋_GB2312" w:cs="仿宋_GB2312"/>
          <w:sz w:val="32"/>
          <w:szCs w:val="32"/>
        </w:rPr>
        <w:t>万元，完成预算的%。决算</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持平。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预算为</w:t>
      </w:r>
      <w:r>
        <w:rPr>
          <w:rFonts w:hint="eastAsia" w:ascii="仿宋_GB2312" w:hAnsi="仿宋_GB2312" w:eastAsia="仿宋_GB2312" w:cs="仿宋_GB2312"/>
          <w:sz w:val="32"/>
          <w:szCs w:val="32"/>
          <w:lang w:val="en-US" w:eastAsia="zh-CN"/>
        </w:rPr>
        <w:t>35.30</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36.22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102.61</w:t>
      </w:r>
      <w:r>
        <w:rPr>
          <w:rFonts w:hint="eastAsia" w:ascii="仿宋_GB2312" w:hAnsi="仿宋_GB2312" w:eastAsia="仿宋_GB2312" w:cs="仿宋_GB2312"/>
          <w:sz w:val="32"/>
          <w:szCs w:val="32"/>
        </w:rPr>
        <w:t>%。决算大于预算数的主要原因</w:t>
      </w:r>
      <w:r>
        <w:rPr>
          <w:rFonts w:hint="eastAsia" w:ascii="仿宋_GB2312" w:hAnsi="仿宋_GB2312" w:eastAsia="仿宋_GB2312" w:cs="仿宋_GB2312"/>
          <w:sz w:val="32"/>
          <w:szCs w:val="32"/>
          <w:lang w:val="en-US" w:eastAsia="zh-CN"/>
        </w:rPr>
        <w:t>是年末零调追加</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color w:val="000000"/>
          <w:kern w:val="0"/>
          <w:sz w:val="32"/>
          <w:szCs w:val="32"/>
        </w:rPr>
        <w:t xml:space="preserve">六、一般公共预算财政拨款基本支出决算情况说明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eastAsia="zh-CN"/>
        </w:rPr>
        <w:t>858.20</w:t>
      </w:r>
      <w:r>
        <w:rPr>
          <w:rFonts w:hint="eastAsia" w:ascii="仿宋_GB2312" w:hAnsi="仿宋_GB2312" w:eastAsia="仿宋_GB2312" w:cs="仿宋_GB2312"/>
          <w:sz w:val="32"/>
          <w:szCs w:val="32"/>
        </w:rPr>
        <w:t>万元，包括：人员经费支出</w:t>
      </w:r>
      <w:r>
        <w:rPr>
          <w:rFonts w:hint="eastAsia" w:ascii="仿宋_GB2312" w:hAnsi="仿宋_GB2312" w:eastAsia="仿宋_GB2312" w:cs="仿宋_GB2312"/>
          <w:sz w:val="32"/>
          <w:szCs w:val="32"/>
          <w:lang w:eastAsia="zh-CN"/>
        </w:rPr>
        <w:t>753.61</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eastAsia="zh-CN"/>
        </w:rPr>
        <w:t>104.59</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753.61</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eastAsia="zh-CN"/>
        </w:rPr>
        <w:t>210.43</w:t>
      </w:r>
      <w:r>
        <w:rPr>
          <w:rFonts w:hint="eastAsia" w:ascii="仿宋_GB2312" w:hAnsi="仿宋_GB2312" w:eastAsia="仿宋_GB2312" w:cs="仿宋_GB2312"/>
          <w:sz w:val="32"/>
          <w:szCs w:val="32"/>
        </w:rPr>
        <w:t>万元，津贴补贴</w:t>
      </w:r>
      <w:r>
        <w:rPr>
          <w:rFonts w:hint="eastAsia" w:ascii="仿宋_GB2312" w:hAnsi="仿宋_GB2312" w:eastAsia="仿宋_GB2312" w:cs="仿宋_GB2312"/>
          <w:sz w:val="32"/>
          <w:szCs w:val="32"/>
          <w:lang w:eastAsia="zh-CN"/>
        </w:rPr>
        <w:t>160.82</w:t>
      </w:r>
      <w:r>
        <w:rPr>
          <w:rFonts w:hint="eastAsia" w:ascii="仿宋_GB2312" w:hAnsi="仿宋_GB2312" w:eastAsia="仿宋_GB2312" w:cs="仿宋_GB2312"/>
          <w:sz w:val="32"/>
          <w:szCs w:val="32"/>
        </w:rPr>
        <w:t>万元，奖金</w:t>
      </w:r>
      <w:r>
        <w:rPr>
          <w:rFonts w:hint="eastAsia" w:ascii="仿宋_GB2312" w:hAnsi="仿宋_GB2312" w:eastAsia="仿宋_GB2312" w:cs="仿宋_GB2312"/>
          <w:sz w:val="32"/>
          <w:szCs w:val="32"/>
          <w:lang w:eastAsia="zh-CN"/>
        </w:rPr>
        <w:t>19.22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eastAsia="zh-CN"/>
        </w:rPr>
        <w:t>47.07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职业年金缴费</w:t>
      </w:r>
      <w:r>
        <w:rPr>
          <w:rFonts w:hint="eastAsia" w:ascii="仿宋_GB2312" w:hAnsi="仿宋_GB2312" w:eastAsia="仿宋_GB2312" w:cs="仿宋_GB2312"/>
          <w:sz w:val="32"/>
          <w:szCs w:val="32"/>
          <w:lang w:eastAsia="zh-CN"/>
        </w:rPr>
        <w:t>24.11</w:t>
      </w:r>
      <w:r>
        <w:rPr>
          <w:rFonts w:hint="eastAsia" w:ascii="仿宋_GB2312" w:hAnsi="仿宋_GB2312" w:eastAsia="仿宋_GB2312" w:cs="仿宋_GB2312"/>
          <w:sz w:val="32"/>
          <w:szCs w:val="32"/>
        </w:rPr>
        <w:t>万元，职工基本医疗保险缴费保障缴费</w:t>
      </w:r>
      <w:r>
        <w:rPr>
          <w:rFonts w:hint="eastAsia" w:ascii="仿宋_GB2312" w:hAnsi="仿宋_GB2312" w:eastAsia="仿宋_GB2312" w:cs="仿宋_GB2312"/>
          <w:sz w:val="32"/>
          <w:szCs w:val="32"/>
          <w:lang w:eastAsia="zh-CN"/>
        </w:rPr>
        <w:t>19.38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7.31</w:t>
      </w:r>
      <w:r>
        <w:rPr>
          <w:rFonts w:hint="eastAsia" w:ascii="仿宋_GB2312" w:hAnsi="仿宋_GB2312" w:eastAsia="仿宋_GB2312" w:cs="仿宋_GB2312"/>
          <w:sz w:val="32"/>
          <w:szCs w:val="32"/>
        </w:rPr>
        <w:t>万元，住房公积金</w:t>
      </w:r>
      <w:r>
        <w:rPr>
          <w:rFonts w:hint="eastAsia" w:ascii="仿宋_GB2312" w:hAnsi="仿宋_GB2312" w:eastAsia="仿宋_GB2312" w:cs="仿宋_GB2312"/>
          <w:sz w:val="32"/>
          <w:szCs w:val="32"/>
          <w:lang w:eastAsia="zh-CN"/>
        </w:rPr>
        <w:t>36.22</w:t>
      </w:r>
      <w:r>
        <w:rPr>
          <w:rFonts w:hint="eastAsia" w:ascii="仿宋_GB2312" w:hAnsi="仿宋_GB2312" w:eastAsia="仿宋_GB2312" w:cs="仿宋_GB2312"/>
          <w:sz w:val="32"/>
          <w:szCs w:val="32"/>
        </w:rPr>
        <w:t>万元，医疗费</w:t>
      </w:r>
      <w:r>
        <w:rPr>
          <w:rFonts w:hint="eastAsia" w:ascii="仿宋_GB2312" w:hAnsi="仿宋_GB2312" w:eastAsia="仿宋_GB2312" w:cs="仿宋_GB2312"/>
          <w:sz w:val="32"/>
          <w:szCs w:val="32"/>
          <w:lang w:val="en-US" w:eastAsia="zh-CN"/>
        </w:rPr>
        <w:t>3.80万元,</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225.25</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公用经费支出</w:t>
      </w:r>
      <w:r>
        <w:rPr>
          <w:rFonts w:hint="eastAsia" w:ascii="仿宋_GB2312" w:hAnsi="仿宋_GB2312" w:eastAsia="仿宋_GB2312" w:cs="仿宋_GB2312"/>
          <w:sz w:val="32"/>
          <w:szCs w:val="32"/>
          <w:lang w:eastAsia="zh-CN"/>
        </w:rPr>
        <w:t>104.59</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15.79</w:t>
      </w:r>
      <w:r>
        <w:rPr>
          <w:rFonts w:hint="eastAsia" w:ascii="仿宋_GB2312" w:hAnsi="仿宋_GB2312" w:eastAsia="仿宋_GB2312" w:cs="仿宋_GB2312"/>
          <w:sz w:val="32"/>
          <w:szCs w:val="32"/>
        </w:rPr>
        <w:t>万元，印刷费</w:t>
      </w:r>
      <w:r>
        <w:rPr>
          <w:rFonts w:hint="eastAsia" w:ascii="仿宋_GB2312" w:hAnsi="仿宋_GB2312" w:eastAsia="仿宋_GB2312" w:cs="仿宋_GB2312"/>
          <w:sz w:val="32"/>
          <w:szCs w:val="32"/>
          <w:lang w:val="en-US" w:eastAsia="zh-CN"/>
        </w:rPr>
        <w:t>2.78万元,手续费0.06万元,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eastAsia="zh-CN"/>
        </w:rPr>
        <w:t>2.19</w:t>
      </w:r>
      <w:r>
        <w:rPr>
          <w:rFonts w:hint="eastAsia" w:ascii="仿宋_GB2312" w:hAnsi="仿宋_GB2312" w:eastAsia="仿宋_GB2312" w:cs="仿宋_GB2312"/>
          <w:sz w:val="32"/>
          <w:szCs w:val="32"/>
        </w:rPr>
        <w:t>万元，电费</w:t>
      </w:r>
      <w:r>
        <w:rPr>
          <w:rFonts w:hint="eastAsia" w:ascii="仿宋_GB2312" w:hAnsi="仿宋_GB2312" w:eastAsia="仿宋_GB2312" w:cs="仿宋_GB2312"/>
          <w:sz w:val="32"/>
          <w:szCs w:val="32"/>
          <w:lang w:eastAsia="zh-CN"/>
        </w:rPr>
        <w:t>2.46</w:t>
      </w:r>
      <w:r>
        <w:rPr>
          <w:rFonts w:hint="eastAsia" w:ascii="仿宋_GB2312" w:hAnsi="仿宋_GB2312" w:eastAsia="仿宋_GB2312" w:cs="仿宋_GB2312"/>
          <w:sz w:val="32"/>
          <w:szCs w:val="32"/>
        </w:rPr>
        <w:t>万元，邮电费</w:t>
      </w:r>
      <w:r>
        <w:rPr>
          <w:rFonts w:hint="eastAsia" w:ascii="仿宋_GB2312" w:hAnsi="仿宋_GB2312" w:eastAsia="仿宋_GB2312" w:cs="仿宋_GB2312"/>
          <w:sz w:val="32"/>
          <w:szCs w:val="32"/>
          <w:lang w:eastAsia="zh-CN"/>
        </w:rPr>
        <w:t>0.28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物业管理费</w:t>
      </w:r>
      <w:r>
        <w:rPr>
          <w:rFonts w:hint="eastAsia" w:ascii="仿宋_GB2312" w:hAnsi="仿宋_GB2312" w:eastAsia="仿宋_GB2312" w:cs="仿宋_GB2312"/>
          <w:sz w:val="32"/>
          <w:szCs w:val="32"/>
          <w:lang w:eastAsia="zh-CN"/>
        </w:rPr>
        <w:t>13.72</w:t>
      </w:r>
      <w:r>
        <w:rPr>
          <w:rFonts w:hint="eastAsia" w:ascii="仿宋_GB2312" w:hAnsi="仿宋_GB2312" w:eastAsia="仿宋_GB2312" w:cs="仿宋_GB2312"/>
          <w:sz w:val="32"/>
          <w:szCs w:val="32"/>
        </w:rPr>
        <w:t>万元，维修(护)费</w:t>
      </w:r>
      <w:r>
        <w:rPr>
          <w:rFonts w:hint="eastAsia" w:ascii="仿宋_GB2312" w:hAnsi="仿宋_GB2312" w:eastAsia="仿宋_GB2312" w:cs="仿宋_GB2312"/>
          <w:sz w:val="32"/>
          <w:szCs w:val="32"/>
          <w:lang w:eastAsia="zh-CN"/>
        </w:rPr>
        <w:t>10.22</w:t>
      </w:r>
      <w:r>
        <w:rPr>
          <w:rFonts w:hint="eastAsia" w:ascii="仿宋_GB2312" w:hAnsi="仿宋_GB2312" w:eastAsia="仿宋_GB2312" w:cs="仿宋_GB2312"/>
          <w:sz w:val="32"/>
          <w:szCs w:val="32"/>
        </w:rPr>
        <w:t>万元，租赁费</w:t>
      </w:r>
      <w:r>
        <w:rPr>
          <w:rFonts w:hint="eastAsia" w:ascii="仿宋_GB2312" w:hAnsi="仿宋_GB2312" w:eastAsia="仿宋_GB2312" w:cs="仿宋_GB2312"/>
          <w:sz w:val="32"/>
          <w:szCs w:val="32"/>
          <w:lang w:val="en-US" w:eastAsia="zh-CN"/>
        </w:rPr>
        <w:t>0.64万元,</w:t>
      </w:r>
      <w:r>
        <w:rPr>
          <w:rFonts w:hint="eastAsia" w:ascii="仿宋_GB2312" w:hAnsi="仿宋_GB2312" w:eastAsia="仿宋_GB2312" w:cs="仿宋_GB2312"/>
          <w:sz w:val="32"/>
          <w:szCs w:val="32"/>
        </w:rPr>
        <w:t>专用材料费</w:t>
      </w:r>
      <w:r>
        <w:rPr>
          <w:rFonts w:hint="eastAsia" w:ascii="仿宋_GB2312" w:hAnsi="仿宋_GB2312" w:eastAsia="仿宋_GB2312" w:cs="仿宋_GB2312"/>
          <w:sz w:val="32"/>
          <w:szCs w:val="32"/>
          <w:lang w:val="en-US" w:eastAsia="zh-CN"/>
        </w:rPr>
        <w:t>4.11万元,被装购置费4.26万元,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33.02</w:t>
      </w:r>
      <w:r>
        <w:rPr>
          <w:rFonts w:hint="eastAsia" w:ascii="仿宋_GB2312" w:hAnsi="仿宋_GB2312" w:eastAsia="仿宋_GB2312" w:cs="仿宋_GB2312"/>
          <w:sz w:val="32"/>
          <w:szCs w:val="32"/>
        </w:rPr>
        <w:t>万元，福利费</w:t>
      </w:r>
      <w:r>
        <w:rPr>
          <w:rFonts w:hint="eastAsia" w:ascii="仿宋_GB2312" w:hAnsi="仿宋_GB2312" w:eastAsia="仿宋_GB2312" w:cs="仿宋_GB2312"/>
          <w:sz w:val="32"/>
          <w:szCs w:val="32"/>
          <w:lang w:eastAsia="zh-CN"/>
        </w:rPr>
        <w:t>0.13</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eastAsia="zh-CN"/>
        </w:rPr>
        <w:t>3.68</w:t>
      </w:r>
      <w:r>
        <w:rPr>
          <w:rFonts w:hint="eastAsia" w:ascii="仿宋_GB2312" w:hAnsi="仿宋_GB2312" w:eastAsia="仿宋_GB2312" w:cs="仿宋_GB2312"/>
          <w:sz w:val="32"/>
          <w:szCs w:val="32"/>
        </w:rPr>
        <w:t>万元，其他商品和服务支出</w:t>
      </w:r>
      <w:r>
        <w:rPr>
          <w:rFonts w:hint="eastAsia" w:ascii="仿宋_GB2312" w:hAnsi="仿宋_GB2312" w:eastAsia="仿宋_GB2312" w:cs="仿宋_GB2312"/>
          <w:sz w:val="32"/>
          <w:szCs w:val="32"/>
          <w:lang w:eastAsia="zh-CN"/>
        </w:rPr>
        <w:t>11.24</w:t>
      </w:r>
      <w:r>
        <w:rPr>
          <w:rFonts w:hint="eastAsia" w:ascii="仿宋_GB2312" w:hAnsi="仿宋_GB2312" w:eastAsia="仿宋_GB2312" w:cs="仿宋_GB2312"/>
          <w:sz w:val="32"/>
          <w:szCs w:val="32"/>
        </w:rPr>
        <w:t>万元。</w:t>
      </w:r>
    </w:p>
    <w:p>
      <w:pPr>
        <w:spacing w:line="560" w:lineRule="exact"/>
        <w:ind w:firstLine="640" w:firstLineChars="200"/>
        <w:rPr>
          <w:rFonts w:ascii="黑体" w:hAnsi="黑体" w:eastAsia="黑体"/>
          <w:bCs/>
          <w:color w:val="000000"/>
          <w:kern w:val="0"/>
          <w:sz w:val="32"/>
          <w:szCs w:val="32"/>
        </w:rPr>
      </w:pPr>
      <w:r>
        <w:rPr>
          <w:rFonts w:hint="eastAsia" w:ascii="黑体" w:hAnsi="黑体" w:eastAsia="黑体"/>
          <w:bCs/>
          <w:color w:val="000000"/>
          <w:kern w:val="0"/>
          <w:sz w:val="32"/>
          <w:szCs w:val="32"/>
        </w:rPr>
        <w:t>七、一般公共预算财政拨款“三公”经费及会议费、培训费支出决算情况说明</w:t>
      </w:r>
    </w:p>
    <w:p>
      <w:pPr>
        <w:spacing w:line="560" w:lineRule="exact"/>
        <w:ind w:firstLine="643" w:firstLineChars="200"/>
        <w:jc w:val="left"/>
        <w:rPr>
          <w:rFonts w:hint="eastAsia" w:ascii="仿宋_GB2312" w:hAnsi="仿宋_GB2312" w:eastAsia="仿宋_GB2312" w:cs="仿宋_GB2312"/>
          <w:sz w:val="32"/>
          <w:szCs w:val="32"/>
        </w:rPr>
      </w:pPr>
      <w:r>
        <w:rPr>
          <w:rFonts w:ascii="楷体_GB2312" w:hAnsi="宋体" w:eastAsia="楷体_GB2312" w:cs="楷体_GB2312"/>
          <w:b/>
          <w:color w:val="000000"/>
          <w:kern w:val="0"/>
          <w:sz w:val="32"/>
          <w:szCs w:val="32"/>
        </w:rPr>
        <w:t>（一）“三公”经费财政拨款支出决算总体情况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2021年“三公”经费财政拨款支出预算为</w:t>
      </w:r>
      <w:r>
        <w:rPr>
          <w:rFonts w:hint="eastAsia" w:ascii="仿宋_GB2312" w:hAnsi="仿宋_GB2312" w:eastAsia="仿宋_GB2312" w:cs="仿宋_GB2312"/>
          <w:sz w:val="32"/>
          <w:szCs w:val="32"/>
          <w:lang w:val="en-US" w:eastAsia="zh-CN"/>
        </w:rPr>
        <w:t>45.73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45.73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val="en-US" w:eastAsia="zh-CN"/>
        </w:rPr>
        <w:t>严格落实八项规定，精简节约，控制三公经费支出</w:t>
      </w:r>
      <w:r>
        <w:rPr>
          <w:rFonts w:hint="eastAsia" w:ascii="仿宋_GB2312" w:hAnsi="仿宋_GB2312" w:eastAsia="仿宋_GB2312" w:cs="仿宋_GB2312"/>
          <w:sz w:val="32"/>
          <w:szCs w:val="32"/>
        </w:rPr>
        <w:t>。</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“三公”经费财政拨款支出决算具体情况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%；公务用车购置费支出决算为</w:t>
      </w:r>
      <w:r>
        <w:rPr>
          <w:rFonts w:hint="eastAsia" w:ascii="仿宋_GB2312" w:hAnsi="仿宋_GB2312" w:eastAsia="仿宋_GB2312" w:cs="仿宋_GB2312"/>
          <w:sz w:val="32"/>
          <w:szCs w:val="32"/>
          <w:lang w:eastAsia="zh-CN"/>
        </w:rPr>
        <w:t>19.57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42.80</w:t>
      </w:r>
      <w:r>
        <w:rPr>
          <w:rFonts w:hint="eastAsia" w:ascii="仿宋_GB2312" w:hAnsi="仿宋_GB2312" w:eastAsia="仿宋_GB2312" w:cs="仿宋_GB2312"/>
          <w:sz w:val="32"/>
          <w:szCs w:val="32"/>
        </w:rPr>
        <w:t>%；公务用车运行维护费支出决算</w:t>
      </w:r>
      <w:r>
        <w:rPr>
          <w:rFonts w:hint="eastAsia" w:ascii="仿宋_GB2312" w:hAnsi="仿宋_GB2312" w:eastAsia="仿宋_GB2312" w:cs="仿宋_GB2312"/>
          <w:sz w:val="32"/>
          <w:szCs w:val="32"/>
          <w:lang w:eastAsia="zh-CN"/>
        </w:rPr>
        <w:t>26.16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57.20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sz w:val="32"/>
          <w:szCs w:val="32"/>
        </w:rPr>
      </w:pPr>
      <w:r>
        <w:drawing>
          <wp:inline distT="0" distB="0" distL="114300" distR="114300">
            <wp:extent cx="5274310" cy="3469640"/>
            <wp:effectExtent l="0" t="0" r="2540" b="1651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1"/>
                    <a:stretch>
                      <a:fillRect/>
                    </a:stretch>
                  </pic:blipFill>
                  <pic:spPr>
                    <a:xfrm>
                      <a:off x="0" y="0"/>
                      <a:ext cx="5274310" cy="3469640"/>
                    </a:xfrm>
                    <a:prstGeom prst="rect">
                      <a:avLst/>
                    </a:prstGeom>
                    <a:noFill/>
                    <a:ln>
                      <a:noFill/>
                    </a:ln>
                  </pic:spPr>
                </pic:pic>
              </a:graphicData>
            </a:graphic>
          </wp:inline>
        </w:drawing>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年因公出国（境）团组0个，0人次，预算为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 xml:space="preserve">0.00 </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是本部门无本项预算及安排</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年购置车辆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台，预算为</w:t>
      </w:r>
      <w:r>
        <w:rPr>
          <w:rFonts w:hint="eastAsia" w:ascii="仿宋_GB2312" w:hAnsi="仿宋_GB2312" w:eastAsia="仿宋_GB2312" w:cs="仿宋_GB2312"/>
          <w:sz w:val="32"/>
          <w:szCs w:val="32"/>
          <w:lang w:eastAsia="zh-CN"/>
        </w:rPr>
        <w:t>19.57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19.57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是按预算用途支付设备购置费</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年公务用车运行维护费预算为</w:t>
      </w:r>
      <w:r>
        <w:rPr>
          <w:rFonts w:hint="eastAsia" w:ascii="仿宋_GB2312" w:hAnsi="仿宋_GB2312" w:eastAsia="仿宋_GB2312" w:cs="仿宋_GB2312"/>
          <w:sz w:val="32"/>
          <w:szCs w:val="32"/>
          <w:lang w:eastAsia="zh-CN"/>
        </w:rPr>
        <w:t>26.16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26.16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 xml:space="preserve">0.00 </w:t>
      </w:r>
      <w:r>
        <w:rPr>
          <w:rFonts w:hint="eastAsia" w:ascii="仿宋_GB2312" w:hAnsi="仿宋_GB2312" w:eastAsia="仿宋_GB2312" w:cs="仿宋_GB2312"/>
          <w:sz w:val="32"/>
          <w:szCs w:val="32"/>
        </w:rPr>
        <w:t>%，决算数较预算数增加</w:t>
      </w:r>
      <w:r>
        <w:rPr>
          <w:rFonts w:hint="eastAsia" w:ascii="仿宋_GB2312" w:hAnsi="仿宋_GB2312" w:eastAsia="仿宋_GB2312" w:cs="仿宋_GB2312"/>
          <w:sz w:val="32"/>
          <w:szCs w:val="32"/>
          <w:lang w:eastAsia="zh-CN"/>
        </w:rPr>
        <w:t>26.16</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是严格控制三公经费支出</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4.公务接待费支出情况说明。</w:t>
      </w:r>
    </w:p>
    <w:p>
      <w:pPr>
        <w:spacing w:line="56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 xml:space="preserve">0.00 </w:t>
      </w:r>
      <w:r>
        <w:rPr>
          <w:rFonts w:hint="eastAsia" w:ascii="仿宋_GB2312" w:hAnsi="仿宋_GB2312" w:eastAsia="仿宋_GB2312" w:cs="仿宋_GB2312"/>
          <w:sz w:val="32"/>
          <w:szCs w:val="32"/>
        </w:rPr>
        <w:t>%，决算数较预算数减少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是本部门无公务接待费预算和安排。</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（三）培训费支出情况说明。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年培训费预算为</w:t>
      </w:r>
      <w:r>
        <w:rPr>
          <w:rFonts w:hint="eastAsia" w:ascii="仿宋_GB2312" w:hAnsi="仿宋_GB2312" w:eastAsia="仿宋_GB2312" w:cs="仿宋_GB2312"/>
          <w:sz w:val="32"/>
          <w:szCs w:val="32"/>
          <w:lang w:val="en-US" w:eastAsia="zh-CN"/>
        </w:rPr>
        <w:t>3.89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2.92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75.06</w:t>
      </w:r>
      <w:r>
        <w:rPr>
          <w:rFonts w:hint="eastAsia" w:ascii="仿宋_GB2312" w:hAnsi="仿宋_GB2312" w:eastAsia="仿宋_GB2312" w:cs="仿宋_GB2312"/>
          <w:sz w:val="32"/>
          <w:szCs w:val="32"/>
        </w:rPr>
        <w:t>%，决算数较预算数</w:t>
      </w:r>
      <w:r>
        <w:rPr>
          <w:rFonts w:hint="eastAsia" w:ascii="仿宋_GB2312" w:hAnsi="仿宋_GB2312" w:eastAsia="仿宋_GB2312" w:cs="仿宋_GB2312"/>
          <w:sz w:val="32"/>
          <w:szCs w:val="32"/>
          <w:lang w:val="en-US" w:eastAsia="zh-CN"/>
        </w:rPr>
        <w:t>减少0.97</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是因疫情影响扫黑除恶专项培训规模缩小，预算有结余。</w:t>
      </w:r>
    </w:p>
    <w:p>
      <w:pPr>
        <w:spacing w:line="560" w:lineRule="exact"/>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（四）会议费支出情况说明。</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年会议费</w:t>
      </w:r>
      <w:r>
        <w:rPr>
          <w:rFonts w:hint="eastAsia" w:ascii="仿宋_GB2312" w:hAnsi="仿宋_GB2312" w:eastAsia="仿宋_GB2312" w:cs="仿宋_GB2312"/>
          <w:color w:val="000000"/>
          <w:kern w:val="0"/>
          <w:sz w:val="32"/>
          <w:szCs w:val="32"/>
        </w:rPr>
        <w:t>预算为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万元，支出决算为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eastAsia="zh-CN"/>
        </w:rPr>
        <w:t xml:space="preserve">0.00 </w:t>
      </w:r>
      <w:r>
        <w:rPr>
          <w:rFonts w:hint="eastAsia" w:ascii="仿宋_GB2312" w:hAnsi="仿宋_GB2312" w:eastAsia="仿宋_GB2312" w:cs="仿宋_GB2312"/>
          <w:color w:val="000000"/>
          <w:kern w:val="0"/>
          <w:sz w:val="32"/>
          <w:szCs w:val="32"/>
        </w:rPr>
        <w:t>%，决算数较预算数减少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val="en-US" w:eastAsia="zh-CN"/>
        </w:rPr>
        <w:t>是无此项工作安排及预算</w:t>
      </w:r>
      <w:r>
        <w:rPr>
          <w:rFonts w:hint="eastAsia" w:ascii="仿宋_GB2312" w:hAnsi="仿宋_GB2312" w:eastAsia="仿宋_GB2312" w:cs="仿宋_GB2312"/>
          <w:color w:val="000000"/>
          <w:kern w:val="0"/>
          <w:sz w:val="32"/>
          <w:szCs w:val="32"/>
        </w:rPr>
        <w:t>。</w:t>
      </w:r>
    </w:p>
    <w:p>
      <w:pPr>
        <w:spacing w:line="560" w:lineRule="exact"/>
        <w:ind w:firstLine="640" w:firstLineChars="200"/>
        <w:rPr>
          <w:rFonts w:ascii="黑体" w:hAnsi="黑体" w:eastAsia="黑体"/>
          <w:bCs/>
          <w:color w:val="000000"/>
          <w:kern w:val="0"/>
          <w:sz w:val="32"/>
          <w:szCs w:val="32"/>
        </w:rPr>
      </w:pPr>
      <w:r>
        <w:rPr>
          <w:rFonts w:hint="eastAsia" w:ascii="黑体" w:hAnsi="黑体" w:eastAsia="黑体"/>
          <w:bCs/>
          <w:color w:val="000000"/>
          <w:kern w:val="0"/>
          <w:sz w:val="32"/>
          <w:szCs w:val="32"/>
        </w:rPr>
        <w:t xml:space="preserve">八、政府性基金预算财政拨款收入支出情况说明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九、国有资本经营财政拨款支出情况说明</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本部门无国有资本经营决算拨款收支，并已公开空表。</w:t>
      </w:r>
    </w:p>
    <w:p>
      <w:p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十、机关运行经费支出情况说明。</w:t>
      </w:r>
    </w:p>
    <w:p>
      <w:p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年机关运行经费预算为</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104.59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86.44</w:t>
      </w:r>
      <w:r>
        <w:rPr>
          <w:rFonts w:hint="eastAsia" w:ascii="仿宋_GB2312" w:hAnsi="仿宋_GB2312" w:eastAsia="仿宋_GB2312" w:cs="仿宋_GB2312"/>
          <w:sz w:val="32"/>
          <w:szCs w:val="32"/>
        </w:rPr>
        <w:t>%。决算数较预算数</w:t>
      </w:r>
      <w:r>
        <w:rPr>
          <w:rFonts w:hint="eastAsia" w:ascii="仿宋_GB2312" w:hAnsi="仿宋_GB2312" w:eastAsia="仿宋_GB2312" w:cs="仿宋_GB2312"/>
          <w:sz w:val="32"/>
          <w:szCs w:val="32"/>
          <w:lang w:val="en-US" w:eastAsia="zh-CN"/>
        </w:rPr>
        <w:t>减少16.41</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val="en-US" w:eastAsia="zh-CN"/>
        </w:rPr>
        <w:t>是差旅费、印刷费较预算减少</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十一、政府采购支出情况说明</w:t>
      </w:r>
    </w:p>
    <w:p>
      <w:pPr>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2021年本部门政府采购支出总额共</w:t>
      </w:r>
      <w:r>
        <w:rPr>
          <w:rFonts w:hint="eastAsia" w:ascii="仿宋_GB2312" w:hAnsi="仿宋_GB2312" w:eastAsia="仿宋_GB2312" w:cs="仿宋_GB2312"/>
          <w:sz w:val="32"/>
          <w:szCs w:val="32"/>
          <w:highlight w:val="none"/>
          <w:lang w:val="en-US" w:eastAsia="zh-CN"/>
        </w:rPr>
        <w:t>290</w:t>
      </w:r>
      <w:r>
        <w:rPr>
          <w:rFonts w:hint="eastAsia" w:ascii="仿宋_GB2312" w:hAnsi="仿宋_GB2312" w:eastAsia="仿宋_GB2312" w:cs="仿宋_GB2312"/>
          <w:sz w:val="32"/>
          <w:szCs w:val="32"/>
          <w:highlight w:val="none"/>
        </w:rPr>
        <w:t>万元，其中政府采购货物类支出</w:t>
      </w:r>
      <w:r>
        <w:rPr>
          <w:rFonts w:hint="eastAsia" w:ascii="仿宋_GB2312" w:hAnsi="仿宋_GB2312" w:eastAsia="仿宋_GB2312" w:cs="仿宋_GB2312"/>
          <w:sz w:val="32"/>
          <w:szCs w:val="32"/>
          <w:highlight w:val="none"/>
          <w:lang w:val="en-US" w:eastAsia="zh-CN"/>
        </w:rPr>
        <w:t>290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spacing w:line="560" w:lineRule="exact"/>
        <w:ind w:firstLine="640"/>
        <w:rPr>
          <w:rFonts w:hint="default" w:ascii="仿宋_GB2312" w:hAnsi="仿宋_GB2312" w:eastAsia="仿宋_GB2312" w:cs="仿宋_GB2312"/>
          <w:spacing w:val="-17"/>
          <w:sz w:val="32"/>
          <w:szCs w:val="32"/>
          <w:highlight w:val="none"/>
          <w:lang w:val="en-US" w:eastAsia="zh-CN"/>
        </w:rPr>
      </w:pPr>
      <w:r>
        <w:rPr>
          <w:rFonts w:hint="eastAsia" w:ascii="仿宋_GB2312" w:hAnsi="仿宋_GB2312" w:eastAsia="仿宋_GB2312" w:cs="仿宋_GB2312"/>
          <w:spacing w:val="-17"/>
          <w:sz w:val="32"/>
          <w:szCs w:val="32"/>
          <w:highlight w:val="none"/>
          <w:lang w:val="en-US" w:eastAsia="zh-CN"/>
        </w:rPr>
        <w:t>政府采购网站：陕西省政府采购网  http://www.ccgp-shaanxi.gov.cn/</w:t>
      </w:r>
    </w:p>
    <w:p>
      <w:p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十二、国有资产占用及购置情况说明</w:t>
      </w:r>
    </w:p>
    <w:p>
      <w:pPr>
        <w:spacing w:beforeLines="0" w:afterLines="0"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年末，本部门机关及所属单位共有车辆21辆，其中副厅级以上领导用车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辆，主要领导干部用车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辆，应急保障用车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辆，特种专业技术用车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辆，离退休干部用车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辆。单价20万元以上的通用设备</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台（套）；单价50万元以上的专用设备1（套）。2020年当年购置车辆1辆；购置单价20万元以上的通用设备</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台（套）；购置单价50万元以上的专用设备1台（套）。</w:t>
      </w:r>
    </w:p>
    <w:p>
      <w:pPr>
        <w:numPr>
          <w:ilvl w:val="0"/>
          <w:numId w:val="2"/>
        </w:numPr>
        <w:spacing w:line="56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预算绩效情况说明</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（一）</w:t>
      </w:r>
      <w:r>
        <w:rPr>
          <w:rFonts w:ascii="楷体_GB2312" w:hAnsi="宋体" w:eastAsia="楷体_GB2312" w:cs="楷体_GB2312"/>
          <w:b/>
          <w:color w:val="000000"/>
          <w:kern w:val="0"/>
          <w:sz w:val="32"/>
          <w:szCs w:val="32"/>
        </w:rPr>
        <w:t>预算绩效管理工作开展情况</w:t>
      </w:r>
      <w:r>
        <w:rPr>
          <w:rFonts w:hint="eastAsia" w:ascii="楷体_GB2312" w:hAnsi="宋体" w:eastAsia="楷体_GB2312" w:cs="楷体_GB2312"/>
          <w:b/>
          <w:color w:val="000000"/>
          <w:kern w:val="0"/>
          <w:sz w:val="32"/>
          <w:szCs w:val="32"/>
        </w:rPr>
        <w:t>说明</w:t>
      </w:r>
      <w:r>
        <w:rPr>
          <w:rFonts w:ascii="楷体_GB2312" w:hAnsi="宋体" w:eastAsia="楷体_GB2312" w:cs="楷体_GB2312"/>
          <w:b/>
          <w:color w:val="000000"/>
          <w:kern w:val="0"/>
          <w:sz w:val="32"/>
          <w:szCs w:val="32"/>
        </w:rPr>
        <w:t>。</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w:t>
      </w:r>
      <w:r>
        <w:rPr>
          <w:rFonts w:hint="eastAsia" w:ascii="黑体" w:hAnsi="黑体" w:eastAsia="黑体"/>
          <w:color w:val="000000"/>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按照财政局要求，已经全面开展财政项目支出绩效评价</w:t>
      </w:r>
      <w:r>
        <w:rPr>
          <w:rFonts w:hint="eastAsia" w:ascii="仿宋_GB2312" w:hAnsi="仿宋_GB2312" w:eastAsia="仿宋_GB2312" w:cs="仿宋_GB2312"/>
          <w:kern w:val="0"/>
          <w:sz w:val="32"/>
          <w:szCs w:val="32"/>
        </w:rPr>
        <w:t>管理工作。</w:t>
      </w:r>
    </w:p>
    <w:p>
      <w:pPr>
        <w:spacing w:line="560" w:lineRule="exact"/>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（二）部门决算中项目绩效自评结果</w:t>
      </w:r>
      <w:r>
        <w:rPr>
          <w:rFonts w:ascii="楷体_GB2312" w:hAnsi="宋体" w:eastAsia="楷体_GB2312" w:cs="楷体_GB2312"/>
          <w:b/>
          <w:color w:val="000000"/>
          <w:kern w:val="0"/>
          <w:sz w:val="32"/>
          <w:szCs w:val="32"/>
        </w:rPr>
        <w:t>。</w:t>
      </w:r>
    </w:p>
    <w:p>
      <w:pPr>
        <w:spacing w:line="56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本部门</w:t>
      </w:r>
      <w:r>
        <w:rPr>
          <w:rFonts w:hint="eastAsia" w:ascii="黑体" w:hAnsi="黑体" w:eastAsia="黑体"/>
          <w:color w:val="000000"/>
          <w:kern w:val="0"/>
          <w:sz w:val="32"/>
          <w:szCs w:val="32"/>
        </w:rPr>
        <w:t>202</w:t>
      </w:r>
      <w:r>
        <w:rPr>
          <w:rFonts w:hint="eastAsia" w:ascii="黑体" w:hAnsi="黑体" w:eastAsia="黑体"/>
          <w:color w:val="000000"/>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开展财政项目支出绩效评价</w:t>
      </w:r>
      <w:r>
        <w:rPr>
          <w:rFonts w:hint="eastAsia" w:ascii="仿宋_GB2312" w:hAnsi="仿宋_GB2312" w:eastAsia="仿宋_GB2312" w:cs="仿宋_GB2312"/>
          <w:kern w:val="0"/>
          <w:sz w:val="32"/>
          <w:szCs w:val="32"/>
        </w:rPr>
        <w:t>管理工作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基本已经达到预期目标。</w:t>
      </w:r>
    </w:p>
    <w:tbl>
      <w:tblPr>
        <w:tblStyle w:val="6"/>
        <w:tblW w:w="0" w:type="auto"/>
        <w:tblInd w:w="0" w:type="dxa"/>
        <w:tblLayout w:type="fixed"/>
        <w:tblCellMar>
          <w:top w:w="0" w:type="dxa"/>
          <w:left w:w="0" w:type="dxa"/>
          <w:bottom w:w="0" w:type="dxa"/>
          <w:right w:w="0" w:type="dxa"/>
        </w:tblCellMar>
      </w:tblPr>
      <w:tblGrid>
        <w:gridCol w:w="525"/>
        <w:gridCol w:w="625"/>
        <w:gridCol w:w="1183"/>
        <w:gridCol w:w="1877"/>
        <w:gridCol w:w="1225"/>
        <w:gridCol w:w="1301"/>
        <w:gridCol w:w="812"/>
        <w:gridCol w:w="252"/>
        <w:gridCol w:w="1040"/>
      </w:tblGrid>
      <w:tr>
        <w:tblPrEx>
          <w:tblCellMar>
            <w:top w:w="0" w:type="dxa"/>
            <w:left w:w="0" w:type="dxa"/>
            <w:bottom w:w="0" w:type="dxa"/>
            <w:right w:w="0" w:type="dxa"/>
          </w:tblCellMar>
        </w:tblPrEx>
        <w:trPr>
          <w:trHeight w:val="90" w:hRule="atLeast"/>
        </w:trPr>
        <w:tc>
          <w:tcPr>
            <w:tcW w:w="8840" w:type="dxa"/>
            <w:gridSpan w:val="9"/>
            <w:tcBorders>
              <w:top w:val="nil"/>
              <w:left w:val="nil"/>
              <w:bottom w:val="nil"/>
              <w:right w:val="nil"/>
            </w:tcBorders>
            <w:tcMar>
              <w:top w:w="12" w:type="dxa"/>
              <w:left w:w="12" w:type="dxa"/>
              <w:right w:w="12" w:type="dxa"/>
            </w:tcMar>
            <w:vAlign w:val="center"/>
          </w:tcPr>
          <w:p>
            <w:pPr>
              <w:widowControl/>
              <w:spacing w:line="580" w:lineRule="exact"/>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市级预算（项目）绩效目标自评表</w:t>
            </w:r>
          </w:p>
        </w:tc>
      </w:tr>
      <w:tr>
        <w:tblPrEx>
          <w:tblCellMar>
            <w:top w:w="0" w:type="dxa"/>
            <w:left w:w="0" w:type="dxa"/>
            <w:bottom w:w="0" w:type="dxa"/>
            <w:right w:w="0" w:type="dxa"/>
          </w:tblCellMar>
        </w:tblPrEx>
        <w:trPr>
          <w:trHeight w:val="90" w:hRule="atLeast"/>
        </w:trPr>
        <w:tc>
          <w:tcPr>
            <w:tcW w:w="8840" w:type="dxa"/>
            <w:gridSpan w:val="9"/>
            <w:tcBorders>
              <w:top w:val="nil"/>
              <w:left w:val="nil"/>
              <w:bottom w:val="single" w:color="000000" w:sz="4" w:space="0"/>
              <w:right w:val="nil"/>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年度）</w:t>
            </w:r>
          </w:p>
        </w:tc>
      </w:tr>
      <w:tr>
        <w:tblPrEx>
          <w:tblCellMar>
            <w:top w:w="0" w:type="dxa"/>
            <w:left w:w="0" w:type="dxa"/>
            <w:bottom w:w="0" w:type="dxa"/>
            <w:right w:w="0" w:type="dxa"/>
          </w:tblCellMar>
        </w:tblPrEx>
        <w:trPr>
          <w:trHeight w:val="90" w:hRule="atLeast"/>
        </w:trPr>
        <w:tc>
          <w:tcPr>
            <w:tcW w:w="233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专项（项目）名称</w:t>
            </w:r>
          </w:p>
        </w:tc>
        <w:tc>
          <w:tcPr>
            <w:tcW w:w="6507"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（部门预算项目或专项名称）</w:t>
            </w:r>
          </w:p>
        </w:tc>
      </w:tr>
      <w:tr>
        <w:tblPrEx>
          <w:tblCellMar>
            <w:top w:w="0" w:type="dxa"/>
            <w:left w:w="0" w:type="dxa"/>
            <w:bottom w:w="0" w:type="dxa"/>
            <w:right w:w="0" w:type="dxa"/>
          </w:tblCellMar>
        </w:tblPrEx>
        <w:trPr>
          <w:trHeight w:val="90" w:hRule="atLeast"/>
        </w:trPr>
        <w:tc>
          <w:tcPr>
            <w:tcW w:w="233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市级主管部门</w:t>
            </w:r>
          </w:p>
        </w:tc>
        <w:tc>
          <w:tcPr>
            <w:tcW w:w="310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实施单位</w:t>
            </w:r>
          </w:p>
        </w:tc>
        <w:tc>
          <w:tcPr>
            <w:tcW w:w="210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项目资金（万元）</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全年预算数（A）</w:t>
            </w:r>
          </w:p>
        </w:tc>
        <w:tc>
          <w:tcPr>
            <w:tcW w:w="236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全年执行数（B）</w:t>
            </w:r>
          </w:p>
        </w:tc>
        <w:tc>
          <w:tcPr>
            <w:tcW w:w="1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执行率（B/A）</w:t>
            </w:r>
          </w:p>
        </w:tc>
      </w:tr>
      <w:tr>
        <w:tblPrEx>
          <w:tblCellMar>
            <w:top w:w="0" w:type="dxa"/>
            <w:left w:w="0" w:type="dxa"/>
            <w:bottom w:w="0" w:type="dxa"/>
            <w:right w:w="0" w:type="dxa"/>
          </w:tblCellMar>
        </w:tblPrEx>
        <w:trPr>
          <w:trHeight w:val="90" w:hRule="atLeast"/>
        </w:trPr>
        <w:tc>
          <w:tcPr>
            <w:tcW w:w="2333"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年度资金总额：</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其中:市级财政资金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 其他资金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2333"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236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0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年度总体目标 </w:t>
            </w:r>
          </w:p>
        </w:tc>
        <w:tc>
          <w:tcPr>
            <w:tcW w:w="4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年初设定目标</w:t>
            </w:r>
          </w:p>
        </w:tc>
        <w:tc>
          <w:tcPr>
            <w:tcW w:w="340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全年实际完成情况</w:t>
            </w: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4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340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绩</w:t>
            </w:r>
          </w:p>
          <w:p>
            <w:pPr>
              <w:spacing w:line="220" w:lineRule="exact"/>
              <w:jc w:val="center"/>
              <w:textAlignment w:val="center"/>
              <w:rPr>
                <w:rFonts w:hint="eastAsia" w:ascii="宋体" w:hAnsi="宋体" w:eastAsia="宋体" w:cs="宋体"/>
                <w:color w:val="000000"/>
                <w:kern w:val="0"/>
                <w:szCs w:val="21"/>
                <w:lang w:eastAsia="zh-CN"/>
              </w:rPr>
            </w:pPr>
          </w:p>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效</w:t>
            </w:r>
          </w:p>
          <w:p>
            <w:pPr>
              <w:spacing w:line="220" w:lineRule="exact"/>
              <w:jc w:val="center"/>
              <w:textAlignment w:val="center"/>
              <w:rPr>
                <w:rFonts w:hint="eastAsia" w:ascii="宋体" w:hAnsi="宋体" w:eastAsia="宋体" w:cs="宋体"/>
                <w:color w:val="000000"/>
                <w:kern w:val="0"/>
                <w:szCs w:val="21"/>
                <w:lang w:eastAsia="zh-CN"/>
              </w:rPr>
            </w:pPr>
          </w:p>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指</w:t>
            </w:r>
          </w:p>
          <w:p>
            <w:pPr>
              <w:spacing w:line="220" w:lineRule="exact"/>
              <w:jc w:val="center"/>
              <w:textAlignment w:val="center"/>
              <w:rPr>
                <w:rFonts w:hint="eastAsia" w:ascii="宋体" w:hAnsi="宋体" w:eastAsia="宋体" w:cs="宋体"/>
                <w:color w:val="000000"/>
                <w:kern w:val="0"/>
                <w:szCs w:val="21"/>
                <w:lang w:eastAsia="zh-CN"/>
              </w:rPr>
            </w:pP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标</w:t>
            </w:r>
          </w:p>
        </w:tc>
        <w:tc>
          <w:tcPr>
            <w:tcW w:w="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10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年度指标值 </w:t>
            </w: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全年完成值</w:t>
            </w: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rPr>
            </w:pPr>
            <w:r>
              <w:rPr>
                <w:rFonts w:hint="eastAsia" w:ascii="宋体" w:hAnsi="宋体" w:cs="宋体"/>
                <w:color w:val="000000"/>
                <w:kern w:val="0"/>
                <w:szCs w:val="21"/>
              </w:rPr>
              <w:t>未完成原因改进措施</w:t>
            </w: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经济效益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社会效益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生态效益</w:t>
            </w:r>
          </w:p>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1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服务对象满意度指标</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62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rPr>
            </w:pPr>
            <w:r>
              <w:rPr>
                <w:rFonts w:hint="eastAsia" w:ascii="宋体" w:hAnsi="宋体" w:cs="宋体"/>
                <w:color w:val="000000"/>
                <w:kern w:val="0"/>
                <w:szCs w:val="21"/>
              </w:rPr>
              <w:t>说明</w:t>
            </w:r>
          </w:p>
        </w:tc>
        <w:tc>
          <w:tcPr>
            <w:tcW w:w="6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1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rPr>
            </w:pPr>
          </w:p>
        </w:tc>
        <w:tc>
          <w:tcPr>
            <w:tcW w:w="187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81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c>
          <w:tcPr>
            <w:tcW w:w="12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rPr>
            </w:pPr>
          </w:p>
        </w:tc>
      </w:tr>
      <w:tr>
        <w:tblPrEx>
          <w:tblCellMar>
            <w:top w:w="0" w:type="dxa"/>
            <w:left w:w="0" w:type="dxa"/>
            <w:bottom w:w="0" w:type="dxa"/>
            <w:right w:w="0" w:type="dxa"/>
          </w:tblCellMar>
        </w:tblPrEx>
        <w:trPr>
          <w:trHeight w:val="1809" w:hRule="atLeast"/>
        </w:trPr>
        <w:tc>
          <w:tcPr>
            <w:tcW w:w="8840" w:type="dxa"/>
            <w:gridSpan w:val="9"/>
            <w:tcBorders>
              <w:top w:val="single" w:color="000000" w:sz="4" w:space="0"/>
              <w:left w:val="nil"/>
              <w:bottom w:val="nil"/>
              <w:right w:val="nil"/>
            </w:tcBorders>
            <w:tcMar>
              <w:top w:w="12" w:type="dxa"/>
              <w:left w:w="12" w:type="dxa"/>
              <w:right w:w="12" w:type="dxa"/>
            </w:tcMar>
            <w:vAlign w:val="center"/>
          </w:tcPr>
          <w:p>
            <w:pPr>
              <w:spacing w:line="240" w:lineRule="exact"/>
              <w:jc w:val="left"/>
              <w:textAlignment w:val="center"/>
              <w:rPr>
                <w:rFonts w:hint="eastAsia" w:ascii="宋体" w:hAnsi="宋体" w:cs="宋体"/>
                <w:color w:val="000000"/>
                <w:kern w:val="0"/>
                <w:sz w:val="18"/>
                <w:szCs w:val="18"/>
              </w:rPr>
            </w:pPr>
          </w:p>
          <w:p>
            <w:pPr>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注：1、其他资金包括和财政资金共同投入到同一项目的自有资金、社会资金，以及以前年度的结余资金等。</w:t>
            </w:r>
          </w:p>
          <w:p>
            <w:pPr>
              <w:spacing w:line="24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2、定量指标，资金使用单位填写本地区实际完成数。主管部门汇总时，对绝对值直接累加计算，相对值按照资金额度加权平均计算。</w:t>
            </w:r>
          </w:p>
          <w:p>
            <w:pPr>
              <w:spacing w:line="24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3、定性指标根据指标完成情况分为：全部或基本达成预期指标、部分达成预期指标并具有一定效果、未达成预期指标且效果较差三档，分别按照100%－80%（含）、80%-60%（含）、60%－0%合理填写完成比例。</w:t>
            </w:r>
          </w:p>
          <w:p>
            <w:pPr>
              <w:spacing w:line="240" w:lineRule="exact"/>
              <w:jc w:val="left"/>
              <w:textAlignment w:val="center"/>
              <w:rPr>
                <w:rFonts w:hint="eastAsia" w:ascii="宋体" w:hAnsi="宋体" w:cs="宋体"/>
                <w:color w:val="000000"/>
                <w:kern w:val="0"/>
                <w:sz w:val="18"/>
                <w:szCs w:val="18"/>
              </w:rPr>
            </w:pPr>
          </w:p>
          <w:p>
            <w:pPr>
              <w:spacing w:line="240" w:lineRule="exact"/>
              <w:jc w:val="left"/>
              <w:textAlignment w:val="center"/>
              <w:rPr>
                <w:rFonts w:hint="eastAsia" w:ascii="宋体" w:hAnsi="宋体" w:cs="宋体"/>
                <w:color w:val="000000"/>
                <w:kern w:val="0"/>
                <w:sz w:val="18"/>
                <w:szCs w:val="18"/>
              </w:rPr>
            </w:pPr>
          </w:p>
        </w:tc>
      </w:tr>
    </w:tbl>
    <w:p>
      <w:pPr>
        <w:spacing w:line="560" w:lineRule="exact"/>
        <w:ind w:firstLine="643" w:firstLineChars="200"/>
        <w:jc w:val="left"/>
        <w:rPr>
          <w:rFonts w:hint="eastAsia"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（三）部门整体支出绩效自评结果</w:t>
      </w:r>
      <w:r>
        <w:rPr>
          <w:rFonts w:ascii="楷体_GB2312" w:hAnsi="宋体" w:eastAsia="楷体_GB2312" w:cs="楷体_GB2312"/>
          <w:b/>
          <w:color w:val="000000"/>
          <w:kern w:val="0"/>
          <w:sz w:val="32"/>
          <w:szCs w:val="32"/>
        </w:rPr>
        <w:t>。</w:t>
      </w:r>
    </w:p>
    <w:p>
      <w:pPr>
        <w:spacing w:line="560" w:lineRule="exact"/>
        <w:ind w:firstLine="640" w:firstLineChars="200"/>
        <w:jc w:val="left"/>
        <w:rPr>
          <w:rFonts w:hint="eastAsia" w:ascii="楷体_GB2312" w:hAnsi="宋体" w:eastAsia="楷体_GB2312" w:cs="楷体_GB2312"/>
          <w:b/>
          <w:color w:val="000000"/>
          <w:kern w:val="0"/>
          <w:sz w:val="32"/>
          <w:szCs w:val="32"/>
          <w:highlight w:val="none"/>
        </w:rPr>
      </w:pPr>
      <w:r>
        <w:rPr>
          <w:rFonts w:hint="eastAsia" w:ascii="仿宋_GB2312" w:hAnsi="仿宋_GB2312" w:eastAsia="仿宋_GB2312" w:cs="仿宋_GB2312"/>
          <w:kern w:val="0"/>
          <w:sz w:val="32"/>
          <w:szCs w:val="32"/>
          <w:highlight w:val="none"/>
        </w:rPr>
        <w:t>本部门</w:t>
      </w:r>
      <w:r>
        <w:rPr>
          <w:rFonts w:hint="eastAsia" w:ascii="黑体" w:hAnsi="黑体" w:eastAsia="黑体"/>
          <w:color w:val="000000"/>
          <w:kern w:val="0"/>
          <w:sz w:val="32"/>
          <w:szCs w:val="32"/>
          <w:highlight w:val="none"/>
        </w:rPr>
        <w:t>202</w:t>
      </w:r>
      <w:r>
        <w:rPr>
          <w:rFonts w:hint="eastAsia" w:ascii="黑体" w:hAnsi="黑体" w:eastAsia="黑体"/>
          <w:color w:val="000000"/>
          <w:kern w:val="0"/>
          <w:sz w:val="32"/>
          <w:szCs w:val="32"/>
          <w:highlight w:val="none"/>
          <w:lang w:val="en-US" w:eastAsia="zh-CN"/>
        </w:rPr>
        <w:t>1</w:t>
      </w:r>
      <w:r>
        <w:rPr>
          <w:rFonts w:hint="eastAsia" w:ascii="仿宋_GB2312" w:hAnsi="仿宋_GB2312" w:eastAsia="仿宋_GB2312" w:cs="仿宋_GB2312"/>
          <w:kern w:val="0"/>
          <w:sz w:val="32"/>
          <w:szCs w:val="32"/>
          <w:highlight w:val="none"/>
        </w:rPr>
        <w:t>年未开展绩效管理工作，计划在以后年度开展绩效管理工作。</w:t>
      </w:r>
    </w:p>
    <w:tbl>
      <w:tblPr>
        <w:tblStyle w:val="6"/>
        <w:tblW w:w="8840" w:type="dxa"/>
        <w:tblInd w:w="0" w:type="dxa"/>
        <w:tblLayout w:type="fixed"/>
        <w:tblCellMar>
          <w:top w:w="0" w:type="dxa"/>
          <w:left w:w="0" w:type="dxa"/>
          <w:bottom w:w="0" w:type="dxa"/>
          <w:right w:w="0" w:type="dxa"/>
        </w:tblCellMar>
      </w:tblPr>
      <w:tblGrid>
        <w:gridCol w:w="299"/>
        <w:gridCol w:w="392"/>
        <w:gridCol w:w="459"/>
        <w:gridCol w:w="289"/>
        <w:gridCol w:w="2139"/>
        <w:gridCol w:w="1908"/>
        <w:gridCol w:w="621"/>
        <w:gridCol w:w="347"/>
        <w:gridCol w:w="368"/>
        <w:gridCol w:w="346"/>
        <w:gridCol w:w="850"/>
        <w:gridCol w:w="664"/>
        <w:gridCol w:w="158"/>
      </w:tblGrid>
      <w:tr>
        <w:tblPrEx>
          <w:tblCellMar>
            <w:top w:w="0" w:type="dxa"/>
            <w:left w:w="0" w:type="dxa"/>
            <w:bottom w:w="0" w:type="dxa"/>
            <w:right w:w="0" w:type="dxa"/>
          </w:tblCellMar>
        </w:tblPrEx>
        <w:trPr>
          <w:gridAfter w:val="1"/>
          <w:wAfter w:w="158" w:type="dxa"/>
          <w:trHeight w:val="90" w:hRule="atLeast"/>
        </w:trPr>
        <w:tc>
          <w:tcPr>
            <w:tcW w:w="8682" w:type="dxa"/>
            <w:gridSpan w:val="12"/>
            <w:tcBorders>
              <w:top w:val="nil"/>
              <w:left w:val="nil"/>
              <w:bottom w:val="nil"/>
              <w:right w:val="nil"/>
            </w:tcBorders>
            <w:noWrap w:val="0"/>
            <w:tcMar>
              <w:top w:w="12" w:type="dxa"/>
              <w:left w:w="12" w:type="dxa"/>
              <w:right w:w="12" w:type="dxa"/>
            </w:tcMar>
            <w:vAlign w:val="center"/>
          </w:tcPr>
          <w:p>
            <w:pPr>
              <w:keepNext w:val="0"/>
              <w:keepLines w:val="0"/>
              <w:pageBreakBefore w:val="0"/>
              <w:widowControl w:val="0"/>
              <w:pBdr>
                <w:bottom w:val="single" w:color="FFFFFF" w:sz="4" w:space="30"/>
              </w:pBdr>
              <w:tabs>
                <w:tab w:val="left" w:pos="7380"/>
              </w:tabs>
              <w:kinsoku/>
              <w:wordWrap/>
              <w:overflowPunct/>
              <w:topLinePunct w:val="0"/>
              <w:autoSpaceDE w:val="0"/>
              <w:autoSpaceDN w:val="0"/>
              <w:bidi w:val="0"/>
              <w:adjustRightInd w:val="0"/>
              <w:snapToGrid w:val="0"/>
              <w:spacing w:line="540" w:lineRule="exact"/>
              <w:ind w:left="0" w:leftChars="0" w:right="0" w:rightChars="0" w:firstLine="640" w:firstLineChars="200"/>
              <w:jc w:val="both"/>
              <w:textAlignment w:val="auto"/>
              <w:outlineLvl w:val="9"/>
              <w:rPr>
                <w:rFonts w:hint="eastAsia" w:ascii="仿宋_GB2312" w:eastAsia="仿宋_GB2312" w:cs="Times New Roman"/>
                <w:sz w:val="32"/>
                <w:szCs w:val="32"/>
              </w:rPr>
            </w:pPr>
            <w:r>
              <w:rPr>
                <w:rFonts w:hint="eastAsia" w:ascii="仿宋_GB2312" w:eastAsia="仿宋_GB2312" w:cs="Times New Roman"/>
                <w:sz w:val="32"/>
                <w:szCs w:val="32"/>
              </w:rPr>
              <w:t>根据部门整体支出绩效自评指标体系，本部门自评得分</w:t>
            </w:r>
            <w:r>
              <w:rPr>
                <w:rFonts w:hint="eastAsia" w:ascii="仿宋_GB2312" w:eastAsia="仿宋_GB2312" w:cs="Times New Roman"/>
                <w:sz w:val="32"/>
                <w:szCs w:val="32"/>
                <w:lang w:val="en-US" w:eastAsia="zh-CN"/>
              </w:rPr>
              <w:t>95</w:t>
            </w:r>
            <w:r>
              <w:rPr>
                <w:rFonts w:hint="eastAsia" w:ascii="仿宋_GB2312" w:eastAsia="仿宋_GB2312" w:cs="Times New Roman"/>
                <w:sz w:val="32"/>
                <w:szCs w:val="32"/>
              </w:rPr>
              <w:t>分。部门整体支出全年预算数</w:t>
            </w:r>
            <w:r>
              <w:rPr>
                <w:rFonts w:hint="eastAsia" w:ascii="仿宋_GB2312" w:eastAsia="仿宋_GB2312" w:cs="Times New Roman"/>
                <w:sz w:val="32"/>
                <w:szCs w:val="32"/>
                <w:lang w:val="en-US" w:eastAsia="zh-CN"/>
              </w:rPr>
              <w:t>1906.98</w:t>
            </w:r>
            <w:r>
              <w:rPr>
                <w:rFonts w:hint="eastAsia" w:ascii="仿宋_GB2312" w:eastAsia="仿宋_GB2312" w:cs="Times New Roman"/>
                <w:sz w:val="32"/>
                <w:szCs w:val="32"/>
              </w:rPr>
              <w:t>万元，执行数</w:t>
            </w:r>
            <w:r>
              <w:rPr>
                <w:rFonts w:hint="eastAsia" w:ascii="仿宋_GB2312" w:eastAsia="仿宋_GB2312" w:cs="Times New Roman"/>
                <w:sz w:val="32"/>
                <w:szCs w:val="32"/>
                <w:lang w:val="en-US" w:eastAsia="zh-CN"/>
              </w:rPr>
              <w:t>1906.98</w:t>
            </w:r>
            <w:r>
              <w:rPr>
                <w:rFonts w:hint="eastAsia" w:ascii="仿宋_GB2312" w:eastAsia="仿宋_GB2312" w:cs="Times New Roman"/>
                <w:sz w:val="32"/>
                <w:szCs w:val="32"/>
              </w:rPr>
              <w:t>万元，完成预算的</w:t>
            </w:r>
            <w:r>
              <w:rPr>
                <w:rFonts w:hint="eastAsia" w:ascii="仿宋_GB2312" w:eastAsia="仿宋_GB2312" w:cs="Times New Roman"/>
                <w:sz w:val="32"/>
                <w:szCs w:val="32"/>
                <w:lang w:val="en-US" w:eastAsia="zh-CN"/>
              </w:rPr>
              <w:t>100</w:t>
            </w:r>
            <w:r>
              <w:rPr>
                <w:rFonts w:hint="eastAsia" w:ascii="仿宋_GB2312" w:eastAsia="仿宋_GB2312" w:cs="Times New Roman"/>
                <w:sz w:val="32"/>
                <w:szCs w:val="32"/>
              </w:rPr>
              <w:t>%。</w:t>
            </w:r>
          </w:p>
          <w:p>
            <w:pPr>
              <w:pStyle w:val="2"/>
              <w:keepNext w:val="0"/>
              <w:keepLines w:val="0"/>
              <w:pageBreakBefore w:val="0"/>
              <w:widowControl w:val="0"/>
              <w:kinsoku/>
              <w:wordWrap/>
              <w:overflowPunct/>
              <w:topLinePunct w:val="0"/>
              <w:bidi w:val="0"/>
              <w:spacing w:after="0" w:line="540" w:lineRule="exact"/>
              <w:ind w:right="0" w:rightChars="0" w:firstLine="640" w:firstLineChars="200"/>
              <w:jc w:val="both"/>
              <w:outlineLvl w:val="9"/>
              <w:rPr>
                <w:rFonts w:hint="eastAsia"/>
              </w:rPr>
            </w:pPr>
            <w:r>
              <w:rPr>
                <w:rFonts w:hint="eastAsia" w:ascii="仿宋_GB2312" w:hAnsi="仿宋_GB2312" w:eastAsia="仿宋_GB2312" w:cs="仿宋_GB2312"/>
                <w:sz w:val="32"/>
                <w:szCs w:val="32"/>
              </w:rPr>
              <w:t>本年度部门总体运行情况及取得的成绩：</w:t>
            </w:r>
            <w:r>
              <w:rPr>
                <w:rFonts w:hint="eastAsia" w:ascii="仿宋_GB2312" w:hAnsi="Times New Roman" w:eastAsia="仿宋_GB2312" w:cs="Times New Roman"/>
                <w:kern w:val="2"/>
                <w:sz w:val="32"/>
                <w:szCs w:val="32"/>
                <w:lang w:val="en-US" w:eastAsia="zh-CN" w:bidi="ar-SA"/>
              </w:rPr>
              <w:t>分局在市局党委、高新区党工委、管委会的坚强领导下，坚持以习近平新时代中国特色社会主义思想为指导，深入学习贯彻习近平法治思想和习近平总书记关于政法工作的重要指示、关于公安工作的重要论述、重要训词以及来陕考察重要讲话精神，按照党的十九届六中全会和中、省、市政法工作会议、全国公安厅局长会议、全省公安局长会议以及市委四届十一次全会、全市公安局长会议部署，围绕从严管党治警这一主线，紧扣建党100周年和“十四运”安保维稳两大目标，采取风险化解、深化警务、教育整顿三项措施，提升“打、防、管、控”四个水平，抓好“安保维稳、严打整治、服务发展、夯实基础、队伍管理”五项工作，奋力推动高新公安工作高质量发展，努力为谱写商洛新时代追赶超越新篇章创造安全稳定的社会治安环境。</w:t>
            </w:r>
          </w:p>
          <w:p>
            <w:pPr>
              <w:adjustRightInd w:val="0"/>
              <w:snapToGrid w:val="0"/>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虽然今年我局各项工作进展顺利，取得了预期效果，但是还有一些机制体制和切实需要相关部门支持协调的问题没有得到解决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有些公安业务没有开展，比如外管工作，交通安全管理工作由于没有交警大队，在日常管理上存在死角死面。</w:t>
            </w:r>
          </w:p>
          <w:p>
            <w:pPr>
              <w:adjustRightInd w:val="0"/>
              <w:snapToGrid w:val="0"/>
              <w:spacing w:line="560" w:lineRule="exact"/>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下一步</w:t>
            </w:r>
            <w:r>
              <w:rPr>
                <w:rFonts w:hint="eastAsia" w:ascii="仿宋_GB2312" w:hAnsi="仿宋_GB2312" w:eastAsia="仿宋_GB2312" w:cs="仿宋_GB2312"/>
                <w:sz w:val="32"/>
                <w:szCs w:val="40"/>
                <w:lang w:val="en-US" w:eastAsia="zh-CN"/>
              </w:rPr>
              <w:t>将积极同管委会，市公安局协调争取交警编制，完善公安体制，更好的提高高新</w:t>
            </w:r>
            <w:r>
              <w:rPr>
                <w:rFonts w:hint="eastAsia" w:ascii="仿宋_GB2312" w:hAnsi="Times New Roman" w:eastAsia="仿宋_GB2312" w:cs="Times New Roman"/>
                <w:kern w:val="2"/>
                <w:sz w:val="32"/>
                <w:szCs w:val="32"/>
                <w:lang w:val="en-US" w:eastAsia="zh-CN" w:bidi="ar-SA"/>
              </w:rPr>
              <w:t>高新公安服务质量。</w:t>
            </w:r>
          </w:p>
          <w:p>
            <w:pPr>
              <w:adjustRightInd w:val="0"/>
              <w:snapToGrid w:val="0"/>
              <w:spacing w:line="560" w:lineRule="exact"/>
              <w:jc w:val="center"/>
              <w:rPr>
                <w:rFonts w:ascii="方正小标宋简体" w:hAnsi="方正小标宋简体" w:eastAsia="方正小标宋简体" w:cs="方正小标宋简体"/>
                <w:color w:val="0000FF"/>
                <w:sz w:val="44"/>
                <w:szCs w:val="44"/>
              </w:rPr>
            </w:pPr>
            <w:r>
              <w:rPr>
                <w:rFonts w:hint="eastAsia" w:ascii="方正小标宋简体" w:hAnsi="方正小标宋简体" w:eastAsia="方正小标宋简体" w:cs="方正小标宋简体"/>
                <w:color w:val="auto"/>
                <w:kern w:val="0"/>
                <w:sz w:val="44"/>
                <w:szCs w:val="44"/>
              </w:rPr>
              <w:t>部门整体支出绩效自评表</w:t>
            </w:r>
          </w:p>
        </w:tc>
      </w:tr>
      <w:tr>
        <w:tblPrEx>
          <w:tblCellMar>
            <w:top w:w="0" w:type="dxa"/>
            <w:left w:w="0" w:type="dxa"/>
            <w:bottom w:w="0" w:type="dxa"/>
            <w:right w:w="0" w:type="dxa"/>
          </w:tblCellMar>
        </w:tblPrEx>
        <w:trPr>
          <w:trHeight w:val="90" w:hRule="atLeast"/>
        </w:trPr>
        <w:tc>
          <w:tcPr>
            <w:tcW w:w="8840" w:type="dxa"/>
            <w:gridSpan w:val="13"/>
            <w:tcBorders>
              <w:top w:val="nil"/>
              <w:left w:val="nil"/>
              <w:bottom w:val="nil"/>
              <w:right w:val="nil"/>
            </w:tcBorders>
            <w:noWrap w:val="0"/>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（2021年度）</w:t>
            </w:r>
          </w:p>
        </w:tc>
      </w:tr>
      <w:tr>
        <w:tblPrEx>
          <w:tblCellMar>
            <w:top w:w="0" w:type="dxa"/>
            <w:left w:w="0" w:type="dxa"/>
            <w:bottom w:w="0" w:type="dxa"/>
            <w:right w:w="0" w:type="dxa"/>
          </w:tblCellMar>
        </w:tblPrEx>
        <w:trPr>
          <w:trHeight w:val="90" w:hRule="atLeast"/>
        </w:trPr>
        <w:tc>
          <w:tcPr>
            <w:tcW w:w="8840" w:type="dxa"/>
            <w:gridSpan w:val="1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填报单位：自评得分：</w:t>
            </w:r>
          </w:p>
        </w:tc>
      </w:tr>
      <w:tr>
        <w:tblPrEx>
          <w:tblCellMar>
            <w:top w:w="0" w:type="dxa"/>
            <w:left w:w="0" w:type="dxa"/>
            <w:bottom w:w="0" w:type="dxa"/>
            <w:right w:w="0" w:type="dxa"/>
          </w:tblCellMar>
        </w:tblPrEx>
        <w:trPr>
          <w:trHeight w:val="90" w:hRule="atLeast"/>
        </w:trPr>
        <w:tc>
          <w:tcPr>
            <w:tcW w:w="357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（一）简要概述部门职能与职责。</w:t>
            </w:r>
          </w:p>
        </w:tc>
        <w:tc>
          <w:tcPr>
            <w:tcW w:w="5262"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357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（二）简要概述部门支出情况，按活动内容分类。</w:t>
            </w:r>
          </w:p>
        </w:tc>
        <w:tc>
          <w:tcPr>
            <w:tcW w:w="5262"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357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（三）简要概述当年政府下达的重点工作。</w:t>
            </w:r>
          </w:p>
        </w:tc>
        <w:tc>
          <w:tcPr>
            <w:tcW w:w="5262" w:type="dxa"/>
            <w:gridSpan w:val="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3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分值</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指标说明</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评分标准</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指标值计算公工和数据获取方式</w:t>
            </w: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年初</w:t>
            </w:r>
          </w:p>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目标值</w:t>
            </w: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实际</w:t>
            </w:r>
          </w:p>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完成值</w:t>
            </w: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得分</w:t>
            </w: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未完成原因分析与改进措施</w:t>
            </w: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绩效指标分析与建议</w:t>
            </w: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9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459" w:type="dxa"/>
            <w:tcBorders>
              <w:top w:val="nil"/>
              <w:left w:val="nil"/>
              <w:bottom w:val="nil"/>
              <w:right w:val="nil"/>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预算完成率（10分）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预算完成率＝（预算完成数/预算数）×100%，用以反映和考核部门（单位）预算完成程度。</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预算完成数：部门（单位）本年度实际完成的预算数。</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预算数：财政部门批复的本年度部门（单位）预算数。</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kern w:val="0"/>
                <w:sz w:val="18"/>
                <w:szCs w:val="18"/>
              </w:rPr>
              <w:t>预算</w:t>
            </w:r>
            <w:r>
              <w:rPr>
                <w:rFonts w:hint="eastAsia" w:ascii="宋体" w:hAnsi="宋体" w:cs="宋体"/>
                <w:color w:val="000000"/>
                <w:spacing w:val="-6"/>
                <w:kern w:val="0"/>
                <w:sz w:val="18"/>
                <w:szCs w:val="18"/>
              </w:rPr>
              <w:t>完成率＝100%的，得10分。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预算完成率≥95%的，得9分。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预算完成率在90%（含）和95%之间，得8分。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预算完成率在85%（含）和90%之间，得7分。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预算完成率在80%（含）和85%之间，得6分。</w:t>
            </w:r>
          </w:p>
          <w:p>
            <w:pPr>
              <w:widowControl/>
              <w:spacing w:line="230" w:lineRule="exact"/>
              <w:jc w:val="left"/>
              <w:textAlignment w:val="center"/>
              <w:rPr>
                <w:rFonts w:hint="eastAsia" w:ascii="宋体" w:hAnsi="宋体" w:eastAsia="宋体" w:cs="宋体"/>
                <w:color w:val="000000"/>
                <w:spacing w:val="-6"/>
                <w:kern w:val="0"/>
                <w:sz w:val="18"/>
                <w:szCs w:val="18"/>
                <w:lang w:eastAsia="zh-CN"/>
              </w:rPr>
            </w:pPr>
            <w:r>
              <w:rPr>
                <w:rFonts w:hint="eastAsia" w:ascii="宋体" w:hAnsi="宋体" w:cs="宋体"/>
                <w:color w:val="000000"/>
                <w:spacing w:val="-6"/>
                <w:kern w:val="0"/>
                <w:sz w:val="18"/>
                <w:szCs w:val="18"/>
              </w:rPr>
              <w:t>预算完成率在70%（含）和80%之间，得4分。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6"/>
                <w:kern w:val="0"/>
                <w:sz w:val="18"/>
                <w:szCs w:val="18"/>
              </w:rPr>
              <w:t>预算完成率〈70%”的，得0分。</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预算调整率（5分）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预算调整数＝（预算调整数/预算数）×100%，用以反映和考核部门（单位）预算的调整程度。</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预算调整数：部门（单位）在本年度内涉及预算的追加、追减或结构调整的资金总和（因落实国家政策、发生不可抗力、上级部门或本级党委政府临时交办而产生的调整除外）。</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预算包括一般公共预算与政府性基金预算。</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预算调整率绝对值≤5%，得5分。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预算调整绝对值〉5%的，每增加0.1个百分点扣0.1分，扣完为止。</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9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预算执行（25分）</w:t>
            </w: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支出进度率（5分）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1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支出进度率＝（实际支出/支出预算）×100%，用以反映和考核部门（单位）预算执行的及时性和均衡性程度。</w:t>
            </w:r>
          </w:p>
          <w:p>
            <w:pPr>
              <w:widowControl/>
              <w:spacing w:line="21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半年支出进度＝部门上半年实际支出/（上年结余结转+本年部门预算安排+上半年执行中追加追减）*100%。</w:t>
            </w:r>
          </w:p>
          <w:p>
            <w:pPr>
              <w:widowControl/>
              <w:spacing w:line="21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前三季度支出进度＝部门前三季度实际支出/（上年结余结转+本年部门预算安排+前三季度执行中追加追减）*100%。</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半年进度，进度率≥45%，得2分；进度率在40%（含）和45%之间，得1分；进度率〈40%，得0分。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前三季度进度：进度率≥75%，得3分；进度率在60%（含）和75%之间，得2分；进度率〈60%，得0分。</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预算编制准确率（5分）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部门预算中除财政拨款外的其他收入预算与决算差异率。</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预算编制准确率＝其他收入决算数/其他收入预算数×100%-100%。</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预算编制准确率≤20%，得5分。</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预算编制准确率在20%和40%（含）之间，得3分。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预算编制准确率＞40%，得0分。</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过程</w:t>
            </w:r>
          </w:p>
        </w:tc>
        <w:tc>
          <w:tcPr>
            <w:tcW w:w="39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预算管理（15分）</w:t>
            </w: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“三公经费”控制率（5分）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“三公经费”控制率＝（“三公经费”实际支出数/“三公经费”预算安排数×100%，用以反映和考核部门（单位）对“三公经费”的实际控制程度。</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三公经费控制率≤100%，得5分，每增加0.1个百分点扣0.5分，扣完为止。</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1622" w:hRule="atLeast"/>
        </w:trPr>
        <w:tc>
          <w:tcPr>
            <w:tcW w:w="2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资产管理规范性（5分）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spacing w:val="-11"/>
                <w:kern w:val="0"/>
                <w:sz w:val="18"/>
                <w:szCs w:val="18"/>
                <w:lang w:eastAsia="zh-CN"/>
              </w:rPr>
            </w:pPr>
            <w:r>
              <w:rPr>
                <w:rFonts w:hint="eastAsia" w:ascii="宋体" w:hAnsi="宋体" w:cs="宋体"/>
                <w:color w:val="000000"/>
                <w:spacing w:val="-11"/>
                <w:kern w:val="0"/>
                <w:sz w:val="18"/>
                <w:szCs w:val="18"/>
              </w:rPr>
              <w:t>部门（单位）资产管理是否规范，用以反映和考核部门（单位）资产管理情况。</w:t>
            </w:r>
          </w:p>
          <w:p>
            <w:pPr>
              <w:widowControl/>
              <w:spacing w:line="230" w:lineRule="exact"/>
              <w:jc w:val="left"/>
              <w:textAlignment w:val="center"/>
              <w:rPr>
                <w:rFonts w:hint="eastAsia" w:ascii="宋体" w:hAnsi="宋体" w:eastAsia="宋体" w:cs="宋体"/>
                <w:color w:val="000000"/>
                <w:spacing w:val="-11"/>
                <w:kern w:val="0"/>
                <w:sz w:val="18"/>
                <w:szCs w:val="18"/>
                <w:lang w:eastAsia="zh-CN"/>
              </w:rPr>
            </w:pPr>
            <w:r>
              <w:rPr>
                <w:rFonts w:hint="eastAsia" w:ascii="宋体" w:hAnsi="宋体" w:cs="宋体"/>
                <w:color w:val="000000"/>
                <w:spacing w:val="-11"/>
                <w:kern w:val="0"/>
                <w:sz w:val="18"/>
                <w:szCs w:val="18"/>
              </w:rPr>
              <w:t>1、新增资产配置按预算执行。</w:t>
            </w:r>
          </w:p>
          <w:p>
            <w:pPr>
              <w:widowControl/>
              <w:spacing w:line="230" w:lineRule="exact"/>
              <w:jc w:val="left"/>
              <w:textAlignment w:val="center"/>
              <w:rPr>
                <w:rFonts w:hint="eastAsia" w:ascii="宋体" w:hAnsi="宋体" w:eastAsia="宋体" w:cs="宋体"/>
                <w:color w:val="000000"/>
                <w:spacing w:val="-11"/>
                <w:kern w:val="0"/>
                <w:sz w:val="18"/>
                <w:szCs w:val="18"/>
                <w:lang w:eastAsia="zh-CN"/>
              </w:rPr>
            </w:pPr>
            <w:r>
              <w:rPr>
                <w:rFonts w:hint="eastAsia" w:ascii="宋体" w:hAnsi="宋体" w:cs="宋体"/>
                <w:color w:val="000000"/>
                <w:spacing w:val="-11"/>
                <w:kern w:val="0"/>
                <w:sz w:val="18"/>
                <w:szCs w:val="18"/>
              </w:rPr>
              <w:t>2、资产有偿使用、处置按规定程序审批。</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spacing w:val="-11"/>
                <w:kern w:val="0"/>
                <w:sz w:val="18"/>
                <w:szCs w:val="18"/>
              </w:rPr>
              <w:t>3、资产收益及时、足额上缴财务。</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全部符合5分，有1项不符扣2分，扣完为止。</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预算管理（15分）</w:t>
            </w: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资金使用合规性（5分）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部门（单位）使用预算资金是否符合相关的预算财务管理制度的规定，用以反映和考核部门（单位）预算资金的规范运行情况。</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1、符合国家财经法规和财务管理制度规定以及有关专项资金管理办法的规定；</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2、资金的拨付有完整的审批程序和手续；</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3、重大项目开支经过评估论证；</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4、符合部门预算批复的用途；</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5、不存在截留、挤占、挪用、虚列支出等情况。</w:t>
            </w:r>
          </w:p>
        </w:tc>
        <w:tc>
          <w:tcPr>
            <w:tcW w:w="19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全部符合5分，有1项不符扣2分。</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1083" w:hRule="atLeast"/>
        </w:trPr>
        <w:tc>
          <w:tcPr>
            <w:tcW w:w="2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效果</w:t>
            </w:r>
          </w:p>
        </w:tc>
        <w:tc>
          <w:tcPr>
            <w:tcW w:w="39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履职尽职（60分）</w:t>
            </w: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项目产出（40分）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1908"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1、若为定性指标，根据“三档”原则分别按照指标分值的100-80%（含）、80-50%（含）、50-10%来记分；</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2508" w:hRule="atLeast"/>
        </w:trPr>
        <w:tc>
          <w:tcPr>
            <w:tcW w:w="2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39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rPr>
                <w:rFonts w:ascii="宋体" w:hAnsi="宋体" w:cs="宋体"/>
                <w:color w:val="000000"/>
                <w:sz w:val="18"/>
                <w:szCs w:val="18"/>
              </w:rPr>
            </w:pPr>
          </w:p>
        </w:tc>
        <w:tc>
          <w:tcPr>
            <w:tcW w:w="4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项目效益（20分）</w:t>
            </w:r>
          </w:p>
        </w:tc>
        <w:tc>
          <w:tcPr>
            <w:tcW w:w="2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213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1908"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rPr>
                <w:rFonts w:ascii="宋体" w:hAnsi="宋体" w:cs="宋体"/>
                <w:color w:val="000000"/>
                <w:sz w:val="18"/>
                <w:szCs w:val="18"/>
              </w:rPr>
            </w:pPr>
          </w:p>
        </w:tc>
        <w:tc>
          <w:tcPr>
            <w:tcW w:w="6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34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c>
          <w:tcPr>
            <w:tcW w:w="82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8840" w:type="dxa"/>
            <w:gridSpan w:val="1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备注：</w:t>
            </w:r>
          </w:p>
          <w:p>
            <w:pPr>
              <w:widowControl/>
              <w:spacing w:line="230" w:lineRule="exact"/>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1、“项目产出”和“项目效果”直接细化成部门年初绩效目标中的指标，并根据重要程度赋权。</w:t>
            </w:r>
          </w:p>
          <w:p>
            <w:pPr>
              <w:widowControl/>
              <w:spacing w:line="23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widowControl/>
        <w:rPr>
          <w:rFonts w:ascii="黑体" w:hAnsi="黑体" w:eastAsia="黑体" w:cs="黑体"/>
          <w:kern w:val="0"/>
          <w:sz w:val="32"/>
          <w:szCs w:val="32"/>
        </w:rPr>
      </w:pPr>
    </w:p>
    <w:p>
      <w:pPr>
        <w:rPr>
          <w:rFonts w:hint="eastAsia" w:ascii="楷体" w:hAnsi="楷体" w:eastAsia="楷体" w:cs="楷体"/>
          <w:b/>
          <w:bCs/>
          <w:sz w:val="32"/>
          <w:szCs w:val="40"/>
        </w:rPr>
      </w:pPr>
    </w:p>
    <w:p>
      <w:pPr>
        <w:widowControl/>
        <w:numPr>
          <w:ilvl w:val="0"/>
          <w:numId w:val="3"/>
        </w:numPr>
        <w:ind w:firstLine="640" w:firstLineChars="200"/>
        <w:jc w:val="center"/>
        <w:rPr>
          <w:rFonts w:ascii="黑体" w:hAnsi="黑体" w:eastAsia="黑体" w:cs="黑体"/>
          <w:bCs/>
          <w:kern w:val="0"/>
          <w:sz w:val="32"/>
          <w:szCs w:val="32"/>
        </w:rPr>
      </w:pPr>
      <w:r>
        <w:rPr>
          <w:rFonts w:hint="eastAsia" w:ascii="黑体" w:hAnsi="黑体" w:eastAsia="黑体" w:cs="黑体"/>
          <w:bCs/>
          <w:kern w:val="0"/>
          <w:sz w:val="32"/>
          <w:szCs w:val="32"/>
        </w:rPr>
        <w:t>专业名词解释</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1、基本支出：指为保障机构正常运转、完成日常工作任务而发生的各项支出。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2、项目支出：指单位为完成特定的行政工作任务或事业发展目标所发生的各项支出。</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3、“三公”经费：指部门使用一般公共预算财政拨款安排的因公出国（境）费、公务用车购置及运行费和公务接待费支出。</w:t>
      </w:r>
    </w:p>
    <w:p>
      <w:pPr>
        <w:spacing w:line="6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、机关运行经费：指行政单位和参照公务员法管理的事业单位使用一般公共预算财政拨款支出的日常公用经费。</w:t>
      </w:r>
    </w:p>
    <w:p>
      <w:pPr>
        <w:widowControl/>
        <w:spacing w:beforeLines="0" w:afterLines="0" w:line="560" w:lineRule="exact"/>
        <w:ind w:firstLine="640"/>
        <w:rPr>
          <w:rFonts w:hint="default" w:ascii="仿宋_GB2312" w:eastAsia="仿宋_GB2312" w:cs="宋体"/>
          <w:kern w:val="0"/>
          <w:sz w:val="32"/>
          <w:szCs w:val="32"/>
        </w:rPr>
      </w:pPr>
      <w:r>
        <w:rPr>
          <w:rFonts w:hint="eastAsia" w:ascii="仿宋_GB2312" w:hAnsi="仿宋" w:eastAsia="仿宋_GB2312" w:cs="宋体"/>
          <w:kern w:val="0"/>
          <w:sz w:val="32"/>
          <w:szCs w:val="32"/>
        </w:rPr>
        <w:t>5、</w:t>
      </w:r>
      <w:r>
        <w:rPr>
          <w:rFonts w:hint="eastAsia" w:ascii="仿宋_GB2312" w:eastAsia="仿宋_GB2312" w:cs="宋体"/>
          <w:kern w:val="0"/>
          <w:sz w:val="32"/>
          <w:szCs w:val="32"/>
        </w:rPr>
        <w:t>执法办案：反映公安机关从事行政执法、刑事司法及侦查办案等相关活动的支出。</w:t>
      </w:r>
    </w:p>
    <w:p>
      <w:pPr>
        <w:widowControl/>
        <w:ind w:firstLine="640" w:firstLineChars="200"/>
        <w:rPr>
          <w:rFonts w:hint="default" w:ascii="仿宋_GB2312" w:hAnsi="仿宋_GB2312" w:eastAsia="仿宋_GB2312" w:cs="仿宋_GB2312"/>
          <w:kern w:val="0"/>
          <w:sz w:val="32"/>
          <w:szCs w:val="32"/>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lang w:val="en-US" w:eastAsia="zh-CN"/>
                            </w:rPr>
                            <w:t>- 17 -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qz84AgAAbw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hRDOFhp++fzv9&#10;+HX6+ZVcRXla62eIerCIC91b02FohnuPy8i6q5yKv+BD4Ie4x4u4oguEx0fTyXSaw8XhGw7Azx6f&#10;W+fDO2EUiUZBHbqXRGWHjQ996BASs2mzbqRMHZSatAW9vnqd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rPzgCAABvBAAADgAAAAAAAAABACAAAAAfAQAAZHJzL2Uyb0RvYy54&#10;bWxQSwUGAAAAAAYABgBZAQAAyQUAAAAA&#10;">
              <v:fill on="f" focussize="0,0"/>
              <v:stroke on="f" weight="0.5pt"/>
              <v:imagedata o:title=""/>
              <o:lock v:ext="edit" aspectratio="f"/>
              <v:textbox inset="0mm,0mm,0mm,0mm" style="mso-fit-shape-to-text:t;">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lang w:val="en-US" w:eastAsia="zh-CN"/>
                      </w:rPr>
                      <w:t>- 17 -</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80C8"/>
    <w:multiLevelType w:val="singleLevel"/>
    <w:tmpl w:val="8ECD80C8"/>
    <w:lvl w:ilvl="0" w:tentative="0">
      <w:start w:val="2"/>
      <w:numFmt w:val="chineseCounting"/>
      <w:suff w:val="space"/>
      <w:lvlText w:val="第%1部分"/>
      <w:lvlJc w:val="left"/>
      <w:rPr>
        <w:rFonts w:hint="eastAsia"/>
      </w:rPr>
    </w:lvl>
  </w:abstractNum>
  <w:abstractNum w:abstractNumId="1">
    <w:nsid w:val="CDB4A7C7"/>
    <w:multiLevelType w:val="singleLevel"/>
    <w:tmpl w:val="CDB4A7C7"/>
    <w:lvl w:ilvl="0" w:tentative="0">
      <w:start w:val="13"/>
      <w:numFmt w:val="chineseCounting"/>
      <w:suff w:val="nothing"/>
      <w:lvlText w:val="%1、"/>
      <w:lvlJc w:val="left"/>
      <w:rPr>
        <w:rFonts w:hint="eastAsia"/>
      </w:rPr>
    </w:lvl>
  </w:abstractNum>
  <w:abstractNum w:abstractNumId="2">
    <w:nsid w:val="42186A6F"/>
    <w:multiLevelType w:val="singleLevel"/>
    <w:tmpl w:val="42186A6F"/>
    <w:lvl w:ilvl="0" w:tentative="0">
      <w:start w:val="4"/>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NmODM2ZDI4YjVmNGY0OTQyODk5NTMyNDEwMTcifQ=="/>
  </w:docVars>
  <w:rsids>
    <w:rsidRoot w:val="00172A27"/>
    <w:rsid w:val="00041EA6"/>
    <w:rsid w:val="000978E7"/>
    <w:rsid w:val="000C598C"/>
    <w:rsid w:val="000D0687"/>
    <w:rsid w:val="00115618"/>
    <w:rsid w:val="001507EA"/>
    <w:rsid w:val="00195642"/>
    <w:rsid w:val="002258E4"/>
    <w:rsid w:val="00246B69"/>
    <w:rsid w:val="00292D02"/>
    <w:rsid w:val="0038162C"/>
    <w:rsid w:val="003E315E"/>
    <w:rsid w:val="00410337"/>
    <w:rsid w:val="005174AC"/>
    <w:rsid w:val="005F7598"/>
    <w:rsid w:val="007460F8"/>
    <w:rsid w:val="00783155"/>
    <w:rsid w:val="00863CAD"/>
    <w:rsid w:val="00942109"/>
    <w:rsid w:val="009A344F"/>
    <w:rsid w:val="009B452A"/>
    <w:rsid w:val="009E6E4C"/>
    <w:rsid w:val="00AE6567"/>
    <w:rsid w:val="00B960C8"/>
    <w:rsid w:val="00BA5169"/>
    <w:rsid w:val="00BB4583"/>
    <w:rsid w:val="00BC7AFB"/>
    <w:rsid w:val="00C35E7B"/>
    <w:rsid w:val="00E422F9"/>
    <w:rsid w:val="00E442BE"/>
    <w:rsid w:val="00E71342"/>
    <w:rsid w:val="00F34D56"/>
    <w:rsid w:val="00F40983"/>
    <w:rsid w:val="00F63A62"/>
    <w:rsid w:val="00F72879"/>
    <w:rsid w:val="00F82DE8"/>
    <w:rsid w:val="00FE5146"/>
    <w:rsid w:val="00FE7CEA"/>
    <w:rsid w:val="00FF7DDD"/>
    <w:rsid w:val="01257DDA"/>
    <w:rsid w:val="017F49BE"/>
    <w:rsid w:val="02420DBF"/>
    <w:rsid w:val="02CD757C"/>
    <w:rsid w:val="03016458"/>
    <w:rsid w:val="03040F2A"/>
    <w:rsid w:val="036B7A2F"/>
    <w:rsid w:val="03F23405"/>
    <w:rsid w:val="046063D3"/>
    <w:rsid w:val="04DC2960"/>
    <w:rsid w:val="05194C10"/>
    <w:rsid w:val="052A53FB"/>
    <w:rsid w:val="054D733B"/>
    <w:rsid w:val="05674A17"/>
    <w:rsid w:val="05CD1092"/>
    <w:rsid w:val="05EF122C"/>
    <w:rsid w:val="068F1F19"/>
    <w:rsid w:val="075C5614"/>
    <w:rsid w:val="07A174CB"/>
    <w:rsid w:val="086D1B6C"/>
    <w:rsid w:val="086F56BE"/>
    <w:rsid w:val="08815682"/>
    <w:rsid w:val="090B2132"/>
    <w:rsid w:val="095D5956"/>
    <w:rsid w:val="09BE11B4"/>
    <w:rsid w:val="0A025689"/>
    <w:rsid w:val="0A1105EE"/>
    <w:rsid w:val="0A247ED7"/>
    <w:rsid w:val="0A3A003E"/>
    <w:rsid w:val="0A431D19"/>
    <w:rsid w:val="0A791381"/>
    <w:rsid w:val="0A9072B7"/>
    <w:rsid w:val="0AD33E75"/>
    <w:rsid w:val="0B823BCE"/>
    <w:rsid w:val="0BF3277C"/>
    <w:rsid w:val="0BFE4EEC"/>
    <w:rsid w:val="0CA044D6"/>
    <w:rsid w:val="0CBF7DFB"/>
    <w:rsid w:val="0CC94826"/>
    <w:rsid w:val="0D0E67D9"/>
    <w:rsid w:val="0D321C3F"/>
    <w:rsid w:val="0E682C65"/>
    <w:rsid w:val="0E8A54E0"/>
    <w:rsid w:val="0F1A694A"/>
    <w:rsid w:val="0F2A3388"/>
    <w:rsid w:val="0FAD2CAA"/>
    <w:rsid w:val="10342128"/>
    <w:rsid w:val="104D01F0"/>
    <w:rsid w:val="104E6D46"/>
    <w:rsid w:val="10814651"/>
    <w:rsid w:val="112957E7"/>
    <w:rsid w:val="1146606A"/>
    <w:rsid w:val="11B4155D"/>
    <w:rsid w:val="12824D51"/>
    <w:rsid w:val="128819B3"/>
    <w:rsid w:val="12C765D0"/>
    <w:rsid w:val="12E94936"/>
    <w:rsid w:val="130C4392"/>
    <w:rsid w:val="136B5C3A"/>
    <w:rsid w:val="136D4B39"/>
    <w:rsid w:val="138438B5"/>
    <w:rsid w:val="13BD4750"/>
    <w:rsid w:val="13F76DF0"/>
    <w:rsid w:val="13FA068E"/>
    <w:rsid w:val="142C7704"/>
    <w:rsid w:val="14323350"/>
    <w:rsid w:val="14AB7CFC"/>
    <w:rsid w:val="152A4FA3"/>
    <w:rsid w:val="15520056"/>
    <w:rsid w:val="15B65B5B"/>
    <w:rsid w:val="15DA0777"/>
    <w:rsid w:val="16353C00"/>
    <w:rsid w:val="165740FB"/>
    <w:rsid w:val="168F118A"/>
    <w:rsid w:val="169D4B82"/>
    <w:rsid w:val="169F1133"/>
    <w:rsid w:val="17922577"/>
    <w:rsid w:val="180E0310"/>
    <w:rsid w:val="180F5D63"/>
    <w:rsid w:val="18CD0120"/>
    <w:rsid w:val="1A2E2474"/>
    <w:rsid w:val="1A587EBD"/>
    <w:rsid w:val="1A7B096E"/>
    <w:rsid w:val="1AC800C5"/>
    <w:rsid w:val="1AF1658B"/>
    <w:rsid w:val="1B5C77AB"/>
    <w:rsid w:val="1B701D7A"/>
    <w:rsid w:val="1B7404EB"/>
    <w:rsid w:val="1C205BB0"/>
    <w:rsid w:val="1C674213"/>
    <w:rsid w:val="1D1E569E"/>
    <w:rsid w:val="1D7726D3"/>
    <w:rsid w:val="1DD97567"/>
    <w:rsid w:val="1E3B51E6"/>
    <w:rsid w:val="1EBC7BD5"/>
    <w:rsid w:val="1ECE5CA2"/>
    <w:rsid w:val="1F8F4C45"/>
    <w:rsid w:val="1FCF29CF"/>
    <w:rsid w:val="1FD816FC"/>
    <w:rsid w:val="20032679"/>
    <w:rsid w:val="206969D3"/>
    <w:rsid w:val="210D3667"/>
    <w:rsid w:val="219F2875"/>
    <w:rsid w:val="21C63505"/>
    <w:rsid w:val="21CE489D"/>
    <w:rsid w:val="21D35583"/>
    <w:rsid w:val="225C661C"/>
    <w:rsid w:val="22A36211"/>
    <w:rsid w:val="22BE676D"/>
    <w:rsid w:val="2322484B"/>
    <w:rsid w:val="23492A98"/>
    <w:rsid w:val="234F15B7"/>
    <w:rsid w:val="235169A2"/>
    <w:rsid w:val="23C860B3"/>
    <w:rsid w:val="23F44E0F"/>
    <w:rsid w:val="241C374F"/>
    <w:rsid w:val="243029BB"/>
    <w:rsid w:val="24695C48"/>
    <w:rsid w:val="24AE0ADA"/>
    <w:rsid w:val="25235262"/>
    <w:rsid w:val="25BC7462"/>
    <w:rsid w:val="26372509"/>
    <w:rsid w:val="26406DE6"/>
    <w:rsid w:val="2752567D"/>
    <w:rsid w:val="279D5FD1"/>
    <w:rsid w:val="27AD77C0"/>
    <w:rsid w:val="287966F2"/>
    <w:rsid w:val="287C1D82"/>
    <w:rsid w:val="28B644AC"/>
    <w:rsid w:val="28C5118C"/>
    <w:rsid w:val="293F2663"/>
    <w:rsid w:val="29400A9D"/>
    <w:rsid w:val="296C55EC"/>
    <w:rsid w:val="298D1A32"/>
    <w:rsid w:val="298E05F6"/>
    <w:rsid w:val="2A281CCA"/>
    <w:rsid w:val="2B8C0131"/>
    <w:rsid w:val="2B91102C"/>
    <w:rsid w:val="2BA11B42"/>
    <w:rsid w:val="2BAD31A0"/>
    <w:rsid w:val="2BF10171"/>
    <w:rsid w:val="2C6A3C86"/>
    <w:rsid w:val="2CB72498"/>
    <w:rsid w:val="2D19039A"/>
    <w:rsid w:val="2D4505BF"/>
    <w:rsid w:val="2D5E3253"/>
    <w:rsid w:val="2D817A49"/>
    <w:rsid w:val="2D844526"/>
    <w:rsid w:val="2DEE0948"/>
    <w:rsid w:val="2E5270F9"/>
    <w:rsid w:val="2EBB1D2E"/>
    <w:rsid w:val="2EE74707"/>
    <w:rsid w:val="30714421"/>
    <w:rsid w:val="3075429F"/>
    <w:rsid w:val="31304251"/>
    <w:rsid w:val="31A3571E"/>
    <w:rsid w:val="31B17087"/>
    <w:rsid w:val="31EF0CAF"/>
    <w:rsid w:val="3216116C"/>
    <w:rsid w:val="321839F7"/>
    <w:rsid w:val="327C2D0E"/>
    <w:rsid w:val="331502A5"/>
    <w:rsid w:val="33225487"/>
    <w:rsid w:val="332D2F86"/>
    <w:rsid w:val="342A1FED"/>
    <w:rsid w:val="347F164B"/>
    <w:rsid w:val="34DA19A7"/>
    <w:rsid w:val="34FC47C0"/>
    <w:rsid w:val="34FE7347"/>
    <w:rsid w:val="35216FE2"/>
    <w:rsid w:val="354607EC"/>
    <w:rsid w:val="35585D62"/>
    <w:rsid w:val="35CB0616"/>
    <w:rsid w:val="35CF507F"/>
    <w:rsid w:val="362A5F7B"/>
    <w:rsid w:val="364F0CCA"/>
    <w:rsid w:val="365423FD"/>
    <w:rsid w:val="36E961AB"/>
    <w:rsid w:val="37141057"/>
    <w:rsid w:val="372877DA"/>
    <w:rsid w:val="37D52967"/>
    <w:rsid w:val="37E9610B"/>
    <w:rsid w:val="385801D3"/>
    <w:rsid w:val="38A2670A"/>
    <w:rsid w:val="38BE488D"/>
    <w:rsid w:val="38CC1D69"/>
    <w:rsid w:val="38CC3AF8"/>
    <w:rsid w:val="39340D74"/>
    <w:rsid w:val="39A77CB4"/>
    <w:rsid w:val="39E43D28"/>
    <w:rsid w:val="3A2F7DC8"/>
    <w:rsid w:val="3A34761E"/>
    <w:rsid w:val="3A35161F"/>
    <w:rsid w:val="3A682C70"/>
    <w:rsid w:val="3A70356C"/>
    <w:rsid w:val="3B85226F"/>
    <w:rsid w:val="3BB07E84"/>
    <w:rsid w:val="3CD70179"/>
    <w:rsid w:val="3D9077EA"/>
    <w:rsid w:val="3DD235BF"/>
    <w:rsid w:val="3DD24991"/>
    <w:rsid w:val="3DE2418D"/>
    <w:rsid w:val="3EA55BD9"/>
    <w:rsid w:val="3EC443CD"/>
    <w:rsid w:val="3ED20604"/>
    <w:rsid w:val="3F111687"/>
    <w:rsid w:val="3F1F3312"/>
    <w:rsid w:val="3F320B3A"/>
    <w:rsid w:val="3F5256A8"/>
    <w:rsid w:val="3F5605BF"/>
    <w:rsid w:val="3F760BD6"/>
    <w:rsid w:val="3FB407E0"/>
    <w:rsid w:val="3FD558B7"/>
    <w:rsid w:val="3FF24A11"/>
    <w:rsid w:val="40173DBC"/>
    <w:rsid w:val="405170A3"/>
    <w:rsid w:val="40BE0DB2"/>
    <w:rsid w:val="415249EA"/>
    <w:rsid w:val="41564E27"/>
    <w:rsid w:val="416C5E41"/>
    <w:rsid w:val="41A129A6"/>
    <w:rsid w:val="41DE6D8F"/>
    <w:rsid w:val="425902B9"/>
    <w:rsid w:val="43026447"/>
    <w:rsid w:val="43997210"/>
    <w:rsid w:val="43A54067"/>
    <w:rsid w:val="43AE720D"/>
    <w:rsid w:val="43C91D40"/>
    <w:rsid w:val="44185071"/>
    <w:rsid w:val="446A77C7"/>
    <w:rsid w:val="458F374A"/>
    <w:rsid w:val="465951C3"/>
    <w:rsid w:val="46A4431F"/>
    <w:rsid w:val="46B207D1"/>
    <w:rsid w:val="46C95B1B"/>
    <w:rsid w:val="46D36C9E"/>
    <w:rsid w:val="46F522FD"/>
    <w:rsid w:val="470B1C8F"/>
    <w:rsid w:val="47133199"/>
    <w:rsid w:val="472D2B52"/>
    <w:rsid w:val="47532640"/>
    <w:rsid w:val="48612B46"/>
    <w:rsid w:val="49255A89"/>
    <w:rsid w:val="49297D2D"/>
    <w:rsid w:val="493F2FF6"/>
    <w:rsid w:val="49DC6E3E"/>
    <w:rsid w:val="4A45604E"/>
    <w:rsid w:val="4AE445A0"/>
    <w:rsid w:val="4AE750EB"/>
    <w:rsid w:val="4B9B7E24"/>
    <w:rsid w:val="4BA51E49"/>
    <w:rsid w:val="4C2110A0"/>
    <w:rsid w:val="4CC163EF"/>
    <w:rsid w:val="4CCC3CC4"/>
    <w:rsid w:val="4D034DAF"/>
    <w:rsid w:val="4DB1337B"/>
    <w:rsid w:val="4DCB03CA"/>
    <w:rsid w:val="4DD0778F"/>
    <w:rsid w:val="4E2247F7"/>
    <w:rsid w:val="4E741F6B"/>
    <w:rsid w:val="4F0F7597"/>
    <w:rsid w:val="501A4192"/>
    <w:rsid w:val="507B6464"/>
    <w:rsid w:val="508669F0"/>
    <w:rsid w:val="50E471E1"/>
    <w:rsid w:val="512A3305"/>
    <w:rsid w:val="514C73FA"/>
    <w:rsid w:val="51AD74AC"/>
    <w:rsid w:val="51B03FFD"/>
    <w:rsid w:val="525543A4"/>
    <w:rsid w:val="52BB78A7"/>
    <w:rsid w:val="52E57838"/>
    <w:rsid w:val="537D4507"/>
    <w:rsid w:val="53DF7F32"/>
    <w:rsid w:val="54287C6C"/>
    <w:rsid w:val="54791C7A"/>
    <w:rsid w:val="54AB74B6"/>
    <w:rsid w:val="55472A2C"/>
    <w:rsid w:val="55AF5A9E"/>
    <w:rsid w:val="55CE7592"/>
    <w:rsid w:val="562C39D0"/>
    <w:rsid w:val="565537A4"/>
    <w:rsid w:val="566825CC"/>
    <w:rsid w:val="56731F29"/>
    <w:rsid w:val="569A012D"/>
    <w:rsid w:val="56D97CC2"/>
    <w:rsid w:val="56DA342C"/>
    <w:rsid w:val="57382FF1"/>
    <w:rsid w:val="57CB2353"/>
    <w:rsid w:val="57CF7BD0"/>
    <w:rsid w:val="57FD26AC"/>
    <w:rsid w:val="58114390"/>
    <w:rsid w:val="585C34F2"/>
    <w:rsid w:val="585F1E3B"/>
    <w:rsid w:val="586E207E"/>
    <w:rsid w:val="58CC597F"/>
    <w:rsid w:val="590A22F2"/>
    <w:rsid w:val="59DA50C6"/>
    <w:rsid w:val="5A1C08F6"/>
    <w:rsid w:val="5A930952"/>
    <w:rsid w:val="5AFF2F4D"/>
    <w:rsid w:val="5B9B5880"/>
    <w:rsid w:val="5C5057B9"/>
    <w:rsid w:val="5C7E485A"/>
    <w:rsid w:val="5D437D2E"/>
    <w:rsid w:val="5D9B58E5"/>
    <w:rsid w:val="5DD40546"/>
    <w:rsid w:val="5DF66D9E"/>
    <w:rsid w:val="5E605BBD"/>
    <w:rsid w:val="5ECA1FD8"/>
    <w:rsid w:val="5ECC743B"/>
    <w:rsid w:val="5F243FFB"/>
    <w:rsid w:val="5FF339BA"/>
    <w:rsid w:val="6025396A"/>
    <w:rsid w:val="603B0596"/>
    <w:rsid w:val="60A20EF4"/>
    <w:rsid w:val="6138591F"/>
    <w:rsid w:val="61745FC1"/>
    <w:rsid w:val="61906697"/>
    <w:rsid w:val="61A84491"/>
    <w:rsid w:val="61D81265"/>
    <w:rsid w:val="61EB4DB4"/>
    <w:rsid w:val="61F70201"/>
    <w:rsid w:val="621903F0"/>
    <w:rsid w:val="625E13B5"/>
    <w:rsid w:val="62AD1066"/>
    <w:rsid w:val="62E23D94"/>
    <w:rsid w:val="632834EF"/>
    <w:rsid w:val="635731F6"/>
    <w:rsid w:val="63A80B0C"/>
    <w:rsid w:val="64567A45"/>
    <w:rsid w:val="647C1E48"/>
    <w:rsid w:val="64D86177"/>
    <w:rsid w:val="658E1FB1"/>
    <w:rsid w:val="65AB59DB"/>
    <w:rsid w:val="65DC556A"/>
    <w:rsid w:val="66261EE3"/>
    <w:rsid w:val="66633175"/>
    <w:rsid w:val="666D0124"/>
    <w:rsid w:val="66807E8A"/>
    <w:rsid w:val="669D0A5F"/>
    <w:rsid w:val="671B1725"/>
    <w:rsid w:val="672B02F1"/>
    <w:rsid w:val="676B143B"/>
    <w:rsid w:val="67721974"/>
    <w:rsid w:val="67DB076F"/>
    <w:rsid w:val="67DC0A03"/>
    <w:rsid w:val="6901211F"/>
    <w:rsid w:val="69562DE6"/>
    <w:rsid w:val="69950145"/>
    <w:rsid w:val="6A4E1D0F"/>
    <w:rsid w:val="6B323762"/>
    <w:rsid w:val="6BAC53E8"/>
    <w:rsid w:val="6C044D7B"/>
    <w:rsid w:val="6C067725"/>
    <w:rsid w:val="6E3631E5"/>
    <w:rsid w:val="6F2D6397"/>
    <w:rsid w:val="6F411E43"/>
    <w:rsid w:val="6F4D43F2"/>
    <w:rsid w:val="6F5D3122"/>
    <w:rsid w:val="6F662168"/>
    <w:rsid w:val="707031E9"/>
    <w:rsid w:val="70BD01A6"/>
    <w:rsid w:val="70CE15AA"/>
    <w:rsid w:val="7127008D"/>
    <w:rsid w:val="716501F1"/>
    <w:rsid w:val="716A7665"/>
    <w:rsid w:val="717B46BE"/>
    <w:rsid w:val="71BC7FA5"/>
    <w:rsid w:val="71E55383"/>
    <w:rsid w:val="72435ED2"/>
    <w:rsid w:val="725054F3"/>
    <w:rsid w:val="726026CC"/>
    <w:rsid w:val="72944700"/>
    <w:rsid w:val="736B3932"/>
    <w:rsid w:val="738C598F"/>
    <w:rsid w:val="73EC1283"/>
    <w:rsid w:val="740526D8"/>
    <w:rsid w:val="7539539D"/>
    <w:rsid w:val="758130CB"/>
    <w:rsid w:val="75B30A0C"/>
    <w:rsid w:val="75C356FC"/>
    <w:rsid w:val="75D2624F"/>
    <w:rsid w:val="761D53B8"/>
    <w:rsid w:val="763E532E"/>
    <w:rsid w:val="764F4F89"/>
    <w:rsid w:val="76686157"/>
    <w:rsid w:val="769B62DC"/>
    <w:rsid w:val="76D64F73"/>
    <w:rsid w:val="7714445C"/>
    <w:rsid w:val="771A39E8"/>
    <w:rsid w:val="776C1F07"/>
    <w:rsid w:val="778A1405"/>
    <w:rsid w:val="78530F51"/>
    <w:rsid w:val="787B124F"/>
    <w:rsid w:val="79223926"/>
    <w:rsid w:val="797E3F97"/>
    <w:rsid w:val="79D3262E"/>
    <w:rsid w:val="7A6E771C"/>
    <w:rsid w:val="7A797BB3"/>
    <w:rsid w:val="7B2F0E48"/>
    <w:rsid w:val="7B8E6410"/>
    <w:rsid w:val="7BEF058D"/>
    <w:rsid w:val="7BFB4974"/>
    <w:rsid w:val="7C142D60"/>
    <w:rsid w:val="7C315985"/>
    <w:rsid w:val="7C46787A"/>
    <w:rsid w:val="7C5D1D72"/>
    <w:rsid w:val="7C920E09"/>
    <w:rsid w:val="7D3F23E9"/>
    <w:rsid w:val="7DE219B4"/>
    <w:rsid w:val="7E1959C6"/>
    <w:rsid w:val="7E284BA8"/>
    <w:rsid w:val="7E891110"/>
    <w:rsid w:val="7EA36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rPr>
      <w:rFonts w:ascii="Calibri" w:hAnsi="Calibri" w:eastAsia="宋体"/>
      <w:kern w:val="2"/>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7279</Words>
  <Characters>8098</Characters>
  <Lines>55</Lines>
  <Paragraphs>15</Paragraphs>
  <TotalTime>4</TotalTime>
  <ScaleCrop>false</ScaleCrop>
  <LinksUpToDate>false</LinksUpToDate>
  <CharactersWithSpaces>8189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2022-10-25T08:00:00Z</dcterms:created>
  <dc:creator>Lenovo</dc:creator>
  <cp:lastModifiedBy>Administrator</cp:lastModifiedBy>
  <cp:lastPrinted>2021-09-24T01:23:00Z</cp:lastPrinted>
  <dcterms:modified xsi:type="dcterms:W3CDTF">2022-11-03T03:15:05Z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C998AEDFE721473981D88C5C94AF693C</vt:lpwstr>
  </property>
</Properties>
</file>