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jc w:val="center"/>
        <w:rPr>
          <w:rFonts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商洛市森林公安局</w:t>
      </w:r>
    </w:p>
    <w:p>
      <w:pPr>
        <w:widowControl/>
        <w:jc w:val="center"/>
        <w:rPr>
          <w:rFonts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2021年部门决算</w:t>
      </w:r>
    </w:p>
    <w:p>
      <w:pPr>
        <w:widowControl/>
        <w:jc w:val="center"/>
        <w:rPr>
          <w:rFonts w:ascii="黑体" w:hAnsi="黑体" w:eastAsia="黑体" w:cs="黑体"/>
          <w:kern w:val="0"/>
          <w:sz w:val="72"/>
          <w:szCs w:val="72"/>
        </w:rPr>
      </w:pPr>
    </w:p>
    <w:p>
      <w:pPr>
        <w:widowControl/>
        <w:jc w:val="center"/>
        <w:rPr>
          <w:rFonts w:ascii="黑体" w:hAnsi="黑体" w:eastAsia="黑体" w:cs="黑体"/>
          <w:kern w:val="0"/>
          <w:sz w:val="72"/>
          <w:szCs w:val="7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ind w:firstLine="2100" w:firstLineChars="700"/>
        <w:rPr>
          <w:rFonts w:ascii="黑体" w:hAnsi="黑体" w:eastAsia="黑体" w:cs="黑体"/>
          <w:sz w:val="30"/>
          <w:szCs w:val="30"/>
        </w:rPr>
      </w:pPr>
      <w:r>
        <w:rPr>
          <w:rFonts w:hint="eastAsia" w:ascii="黑体" w:hAnsi="黑体" w:eastAsia="黑体" w:cs="黑体"/>
          <w:sz w:val="30"/>
          <w:szCs w:val="30"/>
        </w:rPr>
        <w:t xml:space="preserve">保密审查情况：已审查  </w:t>
      </w:r>
    </w:p>
    <w:p>
      <w:pPr>
        <w:widowControl/>
        <w:spacing w:line="560" w:lineRule="exact"/>
        <w:ind w:firstLine="1950" w:firstLineChars="650"/>
        <w:rPr>
          <w:rFonts w:ascii="黑体" w:hAnsi="黑体" w:eastAsia="黑体" w:cs="黑体"/>
          <w:kern w:val="0"/>
          <w:sz w:val="30"/>
          <w:szCs w:val="30"/>
        </w:rPr>
      </w:pPr>
      <w:r>
        <w:rPr>
          <w:rFonts w:hint="eastAsia" w:ascii="黑体" w:hAnsi="黑体" w:eastAsia="黑体" w:cs="黑体"/>
          <w:sz w:val="30"/>
          <w:szCs w:val="30"/>
        </w:rPr>
        <w:t>部门主要负责人审签情况：已审签</w:t>
      </w: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黑体" w:hAnsi="黑体" w:eastAsia="黑体" w:cs="黑体"/>
          <w:bCs/>
          <w:kern w:val="0"/>
          <w:sz w:val="32"/>
          <w:szCs w:val="32"/>
        </w:rPr>
      </w:pPr>
    </w:p>
    <w:p>
      <w:pPr>
        <w:widowControl/>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目 录</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一、部门主要职责及内设机构</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二、部门决算单位构成</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三、部门人员情况</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第二部分 2021年部门决算表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一、收入支出决算总表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二、收入决算总表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三、支出决算总表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四、财政拨款收入支出决算总表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五、一般公共预算财政拨款支出决算表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六、一般公共预算财政拨款基本支出决算表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七、一般公共预算财政拨款“三公”经费及会议费、培训费</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支出决算表</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八、政府性基金预算财政拨款收入支出决算表</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九、</w:t>
      </w:r>
      <w:r>
        <w:rPr>
          <w:rFonts w:hint="eastAsia" w:ascii="仿宋_GB2312" w:hAnsi="仿宋_GB2312" w:eastAsia="仿宋_GB2312" w:cs="仿宋_GB2312"/>
          <w:color w:val="000000"/>
          <w:kern w:val="0"/>
          <w:sz w:val="32"/>
          <w:szCs w:val="32"/>
        </w:rPr>
        <w:t>国有资本经营预算财政拨款支出决算表</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第三部分 2021年部门决算情况说明</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一、收入支出决算总体情况说明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二、收入决算情况说明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三、支出决算情况说明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四、财政拨款收入支出决算总体情况说明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五、一般公共预算财政拨款支出决算情况说明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六、一般公共预算财政拨款基本支出决算情况说明   </w:t>
      </w:r>
    </w:p>
    <w:p>
      <w:pPr>
        <w:widowControl/>
        <w:ind w:left="640" w:hanging="640" w:hanging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七、一般公共预算财政拨款“三公”经费及会议费、培训费支出决算情况说明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八、政府性基金预算财政拨款收入支出情况说明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九、国有资本经营财政拨款收入支出情况说明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十、机关运行经费支出情况说明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十一、政府采购支出情况说明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十二、国有资产占用及购置情况说明 </w:t>
      </w:r>
    </w:p>
    <w:p>
      <w:pPr>
        <w:widowControl/>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十三、预算绩效情况说明 </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第四部分 专业名词解释</w:t>
      </w:r>
    </w:p>
    <w:p>
      <w:pPr>
        <w:widowControl/>
        <w:spacing w:line="560" w:lineRule="exact"/>
        <w:jc w:val="left"/>
        <w:rPr>
          <w:rFonts w:ascii="方正小标宋简体" w:hAnsi="方正小标宋简体" w:eastAsia="方正小标宋简体" w:cs="方正小标宋简体"/>
          <w:kern w:val="0"/>
          <w:sz w:val="32"/>
          <w:szCs w:val="32"/>
        </w:rPr>
      </w:pP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一、部门主要职责及内设机构</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（一）主要职责</w:t>
      </w:r>
    </w:p>
    <w:p>
      <w:pPr>
        <w:spacing w:line="560" w:lineRule="exact"/>
        <w:ind w:firstLine="640" w:firstLineChars="200"/>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依法查处森林和草原领域违法犯罪行为；承担森林和草原火灾扑救的现场警戒、交通疏导、治安维护、火灾侦破等工作；协助林业部门开展防火宣传、火灾隐患排查、重点区域巡护等工作。</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w:t>
      </w:r>
    </w:p>
    <w:p>
      <w:pPr>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商洛市森林公安局为副处级单位，下设综合科、刑侦（治安）大队两个正科级科室，编制8名（均为政法专项编制），实有6人。</w:t>
      </w:r>
    </w:p>
    <w:bookmarkEnd w:id="0"/>
    <w:p>
      <w:pPr>
        <w:widowControl/>
        <w:numPr>
          <w:ilvl w:val="0"/>
          <w:numId w:val="1"/>
        </w:numPr>
        <w:ind w:firstLine="643" w:firstLineChars="200"/>
        <w:rPr>
          <w:rFonts w:ascii="黑体" w:hAnsi="黑体" w:eastAsia="黑体" w:cs="黑体"/>
          <w:b/>
          <w:kern w:val="0"/>
          <w:sz w:val="32"/>
          <w:szCs w:val="32"/>
        </w:rPr>
      </w:pPr>
      <w:r>
        <w:rPr>
          <w:rFonts w:ascii="黑体" w:hAnsi="黑体" w:eastAsia="黑体" w:cs="黑体"/>
          <w:b/>
          <w:kern w:val="0"/>
          <w:sz w:val="32"/>
          <w:szCs w:val="32"/>
        </w:rPr>
        <w:t>部门决算单位构成</w:t>
      </w:r>
    </w:p>
    <w:p>
      <w:pPr>
        <w:widowControl/>
        <w:ind w:firstLine="640" w:firstLineChars="200"/>
        <w:rPr>
          <w:rFonts w:ascii="黑体" w:hAnsi="黑体" w:eastAsia="仿宋_GB2312" w:cs="黑体"/>
          <w:b/>
          <w:kern w:val="0"/>
          <w:sz w:val="32"/>
          <w:szCs w:val="32"/>
        </w:rPr>
      </w:pPr>
      <w:r>
        <w:rPr>
          <w:rFonts w:hint="eastAsia" w:ascii="仿宋_GB2312" w:hAnsi="仿宋_GB2312" w:eastAsia="仿宋_GB2312" w:cs="仿宋_GB2312"/>
          <w:kern w:val="0"/>
          <w:sz w:val="32"/>
          <w:szCs w:val="32"/>
        </w:rPr>
        <w:t>纳入本部门2021年部门决算编制范围的单位共1个，包括本级及0个下属单位。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6616" w:type="dxa"/>
          </w:tcPr>
          <w:p>
            <w:pPr>
              <w:widowControl/>
              <w:ind w:firstLine="640" w:firstLineChars="200"/>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6616" w:type="dxa"/>
          </w:tcPr>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商洛市森林公安局</w:t>
            </w:r>
          </w:p>
        </w:tc>
      </w:tr>
    </w:tbl>
    <w:p>
      <w:pPr>
        <w:spacing w:line="560" w:lineRule="exact"/>
        <w:ind w:firstLine="643" w:firstLineChars="200"/>
        <w:rPr>
          <w:rFonts w:ascii="黑体" w:hAnsi="黑体" w:eastAsia="黑体" w:cs="黑体"/>
          <w:b/>
          <w:kern w:val="0"/>
          <w:sz w:val="32"/>
          <w:szCs w:val="32"/>
        </w:rPr>
      </w:pPr>
      <w:r>
        <w:rPr>
          <w:rFonts w:ascii="黑体" w:hAnsi="黑体" w:eastAsia="黑体" w:cs="黑体"/>
          <w:b/>
          <w:kern w:val="0"/>
          <w:sz w:val="32"/>
          <w:szCs w:val="32"/>
        </w:rPr>
        <w:t>三、部门人员情况</w:t>
      </w:r>
    </w:p>
    <w:p>
      <w:pPr>
        <w:spacing w:line="560" w:lineRule="exact"/>
        <w:ind w:firstLine="640" w:firstLineChars="200"/>
        <w:rPr>
          <w:rFonts w:ascii="仿宋_GB2312" w:hAnsi="仿宋_GB2312" w:eastAsia="仿宋_GB2312" w:cs="仿宋_GB2312"/>
          <w:sz w:val="15"/>
          <w:szCs w:val="15"/>
        </w:rPr>
      </w:pPr>
      <w:r>
        <w:rPr>
          <w:rFonts w:hint="eastAsia" w:ascii="仿宋_GB2312" w:hAnsi="仿宋_GB2312" w:eastAsia="仿宋_GB2312" w:cs="仿宋_GB2312"/>
          <w:sz w:val="32"/>
          <w:szCs w:val="32"/>
        </w:rPr>
        <w:t>截止2021年底,本部门人员编制</w:t>
      </w:r>
      <w:r>
        <w:rPr>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人,其中行政编制8人、事业编制0人;实有人员6人,其中行政6人、事业0人,单位管理的离退休人员6人。</w:t>
      </w:r>
    </w:p>
    <w:p>
      <w:pPr>
        <w:jc w:val="center"/>
      </w:pPr>
      <w:r>
        <w:drawing>
          <wp:inline distT="0" distB="0" distL="114300" distR="114300">
            <wp:extent cx="4596130" cy="2767330"/>
            <wp:effectExtent l="0" t="0" r="13970" b="139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4596130" cy="2767330"/>
                    </a:xfrm>
                    <a:prstGeom prst="rect">
                      <a:avLst/>
                    </a:prstGeom>
                    <a:noFill/>
                    <a:ln>
                      <a:noFill/>
                    </a:ln>
                  </pic:spPr>
                </pic:pic>
              </a:graphicData>
            </a:graphic>
          </wp:inline>
        </w:drawing>
      </w:r>
    </w:p>
    <w:p>
      <w:pPr>
        <w:numPr>
          <w:ilvl w:val="0"/>
          <w:numId w:val="2"/>
        </w:numPr>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2021 年度部门决算表</w:t>
      </w:r>
    </w:p>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（2021年度部门决算表公开内容详见附件）</w:t>
      </w:r>
    </w:p>
    <w:p>
      <w:pPr>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第三部分  2021 年部门决算情况说明</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一、收入支出决算总体情况说明</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2021年收入</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rPr>
        <w:t>282.99</w:t>
      </w:r>
      <w:r>
        <w:rPr>
          <w:rFonts w:ascii="仿宋_GB2312" w:hAnsi="仿宋_GB2312" w:eastAsia="仿宋_GB2312" w:cs="仿宋_GB2312"/>
          <w:sz w:val="32"/>
          <w:szCs w:val="32"/>
        </w:rPr>
        <w:t>万元，包括</w:t>
      </w:r>
      <w:r>
        <w:rPr>
          <w:rFonts w:hint="eastAsia" w:ascii="仿宋_GB2312" w:hAnsi="仿宋_GB2312" w:eastAsia="仿宋_GB2312" w:cs="仿宋_GB2312"/>
          <w:sz w:val="32"/>
          <w:szCs w:val="32"/>
        </w:rPr>
        <w:t>年初结转和结余42.69万元，本年收入合计240.31万元。本年收入总计较上年增加0.21万元，增加0.07%，主要原因是人员增资调整。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2021年支出</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rPr>
        <w:t>282.99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其中本年支出268.72万元，年末结转资金14.27万元。本年支出总计较上年增加0.21万元，增加0.07%，主要原因是人员增资调整。</w:t>
      </w:r>
    </w:p>
    <w:p>
      <w:pPr>
        <w:ind w:firstLine="420" w:firstLineChars="200"/>
        <w:jc w:val="left"/>
        <w:rPr>
          <w:rFonts w:ascii="仿宋_GB2312" w:hAnsi="仿宋_GB2312" w:eastAsia="仿宋_GB2312" w:cs="仿宋_GB2312"/>
          <w:sz w:val="32"/>
          <w:szCs w:val="32"/>
        </w:rPr>
      </w:pPr>
      <w:r>
        <w:drawing>
          <wp:inline distT="0" distB="0" distL="114300" distR="114300">
            <wp:extent cx="4596130" cy="2767330"/>
            <wp:effectExtent l="0" t="0" r="13970" b="139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二、收入决算情况说明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2021年收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rPr>
        <w:t>240.31</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其中：财政拨款收入230.31万元，占本年总收入的95.84 %；</w:t>
      </w:r>
      <w:r>
        <w:rPr>
          <w:rFonts w:hint="eastAsia" w:ascii="仿宋_GB2312" w:hAnsi="仿宋_GB2312" w:eastAsia="仿宋_GB2312" w:cs="仿宋_GB2312"/>
          <w:sz w:val="32"/>
          <w:szCs w:val="32"/>
        </w:rPr>
        <w:t>事业收入0万元，占0!%；经营收入0万元，占0%；其他收入10.00万元，占4.16 %。</w:t>
      </w:r>
    </w:p>
    <w:p>
      <w:pPr>
        <w:ind w:firstLine="420" w:firstLineChars="200"/>
        <w:rPr>
          <w:rFonts w:ascii="仿宋_GB2312" w:hAnsi="仿宋_GB2312" w:eastAsia="仿宋_GB2312" w:cs="仿宋_GB2312"/>
          <w:sz w:val="32"/>
          <w:szCs w:val="32"/>
        </w:rPr>
      </w:pPr>
      <w:r>
        <w:drawing>
          <wp:inline distT="0" distB="0" distL="114300" distR="114300">
            <wp:extent cx="4596130" cy="2767330"/>
            <wp:effectExtent l="0" t="0" r="13970" b="1397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黑体" w:hAnsi="黑体" w:eastAsia="黑体"/>
          <w:bCs/>
          <w:color w:val="000000"/>
          <w:kern w:val="0"/>
          <w:sz w:val="32"/>
          <w:szCs w:val="32"/>
        </w:rPr>
        <w:t xml:space="preserve">三、支出决算情况说明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2021年支出合计268.72万元，其中：基本支出133.64万元，占本年总支出的49.73%；项目支出135.07万元，占本年总支出的50.26%；经营支出0万元，占本年总支出的0%。</w:t>
      </w:r>
    </w:p>
    <w:p>
      <w:pPr>
        <w:ind w:firstLine="420" w:firstLineChars="200"/>
        <w:rPr>
          <w:rFonts w:ascii="仿宋_GB2312" w:hAnsi="仿宋_GB2312" w:eastAsia="仿宋_GB2312" w:cs="仿宋_GB2312"/>
          <w:sz w:val="32"/>
          <w:szCs w:val="32"/>
        </w:rPr>
      </w:pPr>
      <w:r>
        <w:drawing>
          <wp:inline distT="0" distB="0" distL="114300" distR="114300">
            <wp:extent cx="4596130" cy="2767330"/>
            <wp:effectExtent l="0" t="0" r="13970" b="1397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
          <w:color w:val="FF0000"/>
          <w:kern w:val="0"/>
          <w:sz w:val="32"/>
          <w:szCs w:val="32"/>
          <w:highlight w:val="lightGray"/>
        </w:rPr>
      </w:pPr>
      <w:r>
        <w:rPr>
          <w:rFonts w:hint="eastAsia" w:ascii="黑体" w:hAnsi="黑体" w:eastAsia="黑体"/>
          <w:bCs/>
          <w:color w:val="000000"/>
          <w:kern w:val="0"/>
          <w:sz w:val="32"/>
          <w:szCs w:val="32"/>
        </w:rPr>
        <w:t>四、财政拨款收入支出决算总体情况说明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2021年财政拨款收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rPr>
        <w:t>264.48</w:t>
      </w:r>
      <w:r>
        <w:rPr>
          <w:rFonts w:ascii="仿宋_GB2312" w:hAnsi="仿宋_GB2312" w:eastAsia="仿宋_GB2312" w:cs="仿宋_GB2312"/>
          <w:sz w:val="32"/>
          <w:szCs w:val="32"/>
        </w:rPr>
        <w:t>万元，包括本年</w:t>
      </w:r>
      <w:r>
        <w:rPr>
          <w:rFonts w:hint="eastAsia" w:ascii="仿宋_GB2312" w:hAnsi="仿宋_GB2312" w:eastAsia="仿宋_GB2312" w:cs="仿宋_GB2312"/>
          <w:sz w:val="32"/>
          <w:szCs w:val="32"/>
        </w:rPr>
        <w:t>一般公共预算财政拨款230.31万元，政府性基金预算财政拨款0万元，年初财政拨款结转和结余34.17万元。2021年财政拨款收入总计较上年增加24.91 万元，增加10.40 %，主要原因是人员增资调整。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2021年财政拨款支出</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rPr>
        <w:t>264.48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其中：公共安全支出117.50万元,社会保障和就业支出11.47万元，卫生健康支出5.25万元,农林水支出124.24万元，住房保障支出6.02万元。2021年财政拨款支出总计较上年增加24.91 万元，增加10.40 %，主要原因是项目增加、人员增资。</w:t>
      </w:r>
    </w:p>
    <w:p>
      <w:pPr>
        <w:ind w:firstLine="420" w:firstLineChars="200"/>
        <w:jc w:val="left"/>
        <w:rPr>
          <w:rFonts w:ascii="仿宋_GB2312" w:hAnsi="仿宋_GB2312" w:cs="仿宋_GB2312"/>
          <w:sz w:val="32"/>
          <w:szCs w:val="32"/>
          <w:highlight w:val="yellow"/>
        </w:rPr>
      </w:pPr>
      <w:r>
        <w:drawing>
          <wp:inline distT="0" distB="0" distL="114300" distR="114300">
            <wp:extent cx="4596130" cy="2767330"/>
            <wp:effectExtent l="0" t="0" r="13970" b="1397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a:stretch>
                      <a:fillRect/>
                    </a:stretch>
                  </pic:blipFill>
                  <pic:spPr>
                    <a:xfrm>
                      <a:off x="0" y="0"/>
                      <a:ext cx="4596130" cy="2767330"/>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五、一般公共预算财政拨款支出决算情况说明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w:t>
      </w:r>
      <w:r>
        <w:rPr>
          <w:rFonts w:hint="eastAsia" w:ascii="楷体_GB2312" w:hAnsi="宋体" w:eastAsia="楷体_GB2312" w:cs="楷体_GB2312"/>
          <w:b/>
          <w:color w:val="000000"/>
          <w:kern w:val="0"/>
          <w:sz w:val="32"/>
          <w:szCs w:val="32"/>
        </w:rPr>
        <w:t>一般公共预算</w:t>
      </w:r>
      <w:r>
        <w:rPr>
          <w:rFonts w:ascii="楷体_GB2312" w:hAnsi="宋体" w:eastAsia="楷体_GB2312" w:cs="楷体_GB2312"/>
          <w:b/>
          <w:color w:val="000000"/>
          <w:kern w:val="0"/>
          <w:sz w:val="32"/>
          <w:szCs w:val="32"/>
        </w:rPr>
        <w:t>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2021年一般公共预算财政拨款支出264.48万元，占本年支出合计的98.42 %。与上年相比，财政拨款支出增加59.08 万元，增长28.76 %，主要原因是项目增加、人员增资。</w:t>
      </w:r>
    </w:p>
    <w:p>
      <w:pPr>
        <w:ind w:firstLine="420" w:firstLineChars="200"/>
        <w:jc w:val="left"/>
        <w:rPr>
          <w:rFonts w:ascii="仿宋_GB2312" w:hAnsi="仿宋_GB2312" w:eastAsia="仿宋_GB2312" w:cs="仿宋_GB2312"/>
          <w:sz w:val="32"/>
          <w:szCs w:val="32"/>
        </w:rPr>
      </w:pPr>
      <w:r>
        <w:drawing>
          <wp:inline distT="0" distB="0" distL="114300" distR="114300">
            <wp:extent cx="5151120" cy="3359150"/>
            <wp:effectExtent l="0" t="0" r="11430"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151120" cy="3359150"/>
                    </a:xfrm>
                    <a:prstGeom prst="rect">
                      <a:avLst/>
                    </a:prstGeom>
                    <a:noFill/>
                    <a:ln>
                      <a:noFill/>
                    </a:ln>
                  </pic:spPr>
                </pic:pic>
              </a:graphicData>
            </a:graphic>
          </wp:inline>
        </w:drawing>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（二）一般公共预算</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2021年一般公共预算财政拨款支出预算为264.48万元，支出决算为264.48万元，完成预算的100%。按照政府功能分类科目，其中：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1.社会保障和就业支出（类）行政事业单位养老支出（款）机关事业单位基本养老保险缴费支出（项）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预算为7.6万元，支出决算为7.6万元，完成预算的100%。决算与预算数持平，主要原因是我单位严格按照预算支出。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2.社会保障和就业支出（类）行政事业单位养老支出（款）机关事业单位职业年金缴费支出（项）。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预算为3.87万元，支出决算为3.87万元，完成预算的100%。决算与预算数持平，主要原因是我单位严格按照预算支出。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3.卫生健康支出（类）行政事业单位医疗（款）行政单位医疗（项）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预算为5.25万元，支出决算为5.25万元，完成预算的100%。决算与预算数持平，主要原因是我单位严格按照预算支出。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4.住房保障支出（类）住房改革支出（款）住房公积金（项）。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预算为6.02万元，支出决算为6.02万元，完成预算的100%。决算与预算数持平，主要原因是我单位严格按照预算支出。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5.公共安全支出（类）公安（款）信息化建设（项）。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预算为23.3万元，支出决算为23.3万元，完成预算的100%。决算与预算数持平，主要原因是我单位严格按照预算支出。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6.公共安全支出（类）公安（款）执法办案（项）。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预算为94.2万元，支出决算为94.2万元，完成预算的100%。决算与预算数持平，主要原因是我单位严格按照预算支出。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7.农林水支出（类）林业和草原（款）行政运行（项）。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预算为104.46万元，支出决算为104.46万元，完成预算的100%。决算与预算数持平，主要原因是我单位严格按照预算支出。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8.农林水支出（类）林业和草原（款）事业机构（项）。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预算为6.44万元，支出决算为6.44万元，完成预算的100%。决算与预算数持平，主要原因是我单位严格按照预算支出。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9.农林水支出（类）林业和草原（款）森林资源培育（项）。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预算为8.54万元，支出决算为8.54万元，完成预算的100%。决算与预算数持平，主要原因是我单位严格按照预算支出。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10.农林水支出（类）林业和草原（款）执法与监督（项）。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预算为4.8万元，支出决算为4.8万元，完成预算的100%。决算与预算数持平，主要原因是我单位严格按照预算支出。</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color w:val="000000"/>
          <w:kern w:val="0"/>
          <w:sz w:val="32"/>
          <w:szCs w:val="32"/>
        </w:rPr>
        <w:t xml:space="preserve">六、一般公共预算财政拨款基本支出决算情况说明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2021年一般公共预算财政拨款基本支出133.64万元，包括：人员经费支出99.66万元，公用经费支出33.99万元。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99.66万元，主要包括基本工资29.78万元，津贴补贴23.11万元，机关事业单位基本养老保险缴费8.83万元，职业年金缴费3.93万元，职工基本医疗保险缴费保障缴费5.48万元，其他社会保障缴费0.09万元，住房公积金8.73万元，医疗费3.44万元,其他工资福利支出6.25万元，奖励金9.20万元，其他对个人和家庭的补助0.81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支出33.99万元，主要包括办公费3.02万元，手续费0.02万元,电费1.15万元，邮电费0.59万元，取暖费0.55万元,差旅费2.01万元，维修(护)费3.28万元，租赁费万元,会议费3.00万元，劳务费5.78万元,委托业务费0.12万元,工会经费3.05万元，福利费0.02万元，公务用车运行维护费6.09万元，其他交通费用4.17万元，其他商品和服务支出1.15万元。</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七、一般公共预算财政拨款“三公”经费及会议费、培训费支出决算情况说明</w:t>
      </w:r>
    </w:p>
    <w:p>
      <w:pPr>
        <w:spacing w:line="560" w:lineRule="exact"/>
        <w:ind w:firstLine="643" w:firstLineChars="200"/>
        <w:jc w:val="left"/>
        <w:rPr>
          <w:rFonts w:ascii="仿宋_GB2312" w:hAnsi="仿宋_GB2312" w:eastAsia="仿宋_GB2312" w:cs="仿宋_GB2312"/>
          <w:sz w:val="32"/>
          <w:szCs w:val="32"/>
        </w:rPr>
      </w:pPr>
      <w:r>
        <w:rPr>
          <w:rFonts w:ascii="楷体_GB2312" w:hAnsi="宋体" w:eastAsia="楷体_GB2312" w:cs="楷体_GB2312"/>
          <w:b/>
          <w:color w:val="000000"/>
          <w:kern w:val="0"/>
          <w:sz w:val="32"/>
          <w:szCs w:val="32"/>
        </w:rPr>
        <w:t>（一）“三公”经费财政拨款支出决算总体情况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2021年“三公”经费财政拨款支出预算为6.14万元，支出决算为6.14万元，完成预算的100%。决算数与预算数持平，主要原因是本单位严格按照预算支出。</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“三公”经费财政拨款支出决算具体情况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决算中，因公出国（境）费支出决算0万元，占0%；公务用车购置费支出决算为0万元，占0%；公务用车运行维护费支出决算6.14万元，占100%；公务接待费支出决算0万元，占0%。具体情况如下：</w:t>
      </w:r>
    </w:p>
    <w:p>
      <w:pPr>
        <w:ind w:firstLine="420" w:firstLineChars="200"/>
        <w:rPr>
          <w:rFonts w:ascii="仿宋_GB2312" w:hAnsi="仿宋_GB2312" w:eastAsia="仿宋_GB2312" w:cs="仿宋_GB2312"/>
          <w:sz w:val="32"/>
          <w:szCs w:val="32"/>
        </w:rPr>
      </w:pPr>
      <w:r>
        <w:drawing>
          <wp:inline distT="0" distB="0" distL="114300" distR="114300">
            <wp:extent cx="4596130" cy="2767330"/>
            <wp:effectExtent l="0" t="0" r="1397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596130" cy="2767330"/>
                    </a:xfrm>
                    <a:prstGeom prst="rect">
                      <a:avLst/>
                    </a:prstGeom>
                    <a:noFill/>
                    <a:ln>
                      <a:noFill/>
                    </a:ln>
                  </pic:spPr>
                </pic:pic>
              </a:graphicData>
            </a:graphic>
          </wp:inline>
        </w:drawing>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2021年因公出国（境）团组0个，0人次，预算为0万元，支出决算为0万元，完成预算的0%，决算数较与算数持平，主要原因是本单位无此项支出。</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2021年购置车辆0台，预算为0万元，支出决算为0万元，完成预算的0%，决算数较与算数持平，主要原因是本单位无此项支出。</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2021年公务用车运行维护费预算为6.14万元，支出决算为6.14万元，完成预算的100%，决算数与预算数持平，主要原因是本单位严格按照预算支出。</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2021年公务接待0批次，0人次，预算为0万元，支出决算为0万元，完成预算的0%，决算数较与算数持平，主要原因是本单位无此项支出。</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2021年培训费预算为0万元，支出决算为0万元，完成预算的0%，决算数较与算数持平，主要原因是本单位无此项支出。</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（四）会议费支出情况说明。</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2021年会议费</w:t>
      </w:r>
      <w:r>
        <w:rPr>
          <w:rFonts w:hint="eastAsia" w:ascii="仿宋_GB2312" w:hAnsi="仿宋_GB2312" w:eastAsia="仿宋_GB2312" w:cs="仿宋_GB2312"/>
          <w:color w:val="000000"/>
          <w:kern w:val="0"/>
          <w:sz w:val="32"/>
          <w:szCs w:val="32"/>
        </w:rPr>
        <w:t>预算为3万元，支出决算为3.00万元，完成预算的100%，</w:t>
      </w:r>
      <w:r>
        <w:rPr>
          <w:rFonts w:hint="eastAsia" w:ascii="仿宋_GB2312" w:hAnsi="仿宋_GB2312" w:eastAsia="仿宋_GB2312" w:cs="仿宋_GB2312"/>
          <w:sz w:val="32"/>
          <w:szCs w:val="32"/>
        </w:rPr>
        <w:t>决算数与预算数持平，主要原因是本单位严格按照预算支出</w:t>
      </w:r>
      <w:r>
        <w:rPr>
          <w:rFonts w:hint="eastAsia" w:ascii="仿宋_GB2312" w:hAnsi="仿宋_GB2312" w:eastAsia="仿宋_GB2312" w:cs="仿宋_GB2312"/>
          <w:color w:val="000000"/>
          <w:kern w:val="0"/>
          <w:sz w:val="32"/>
          <w:szCs w:val="32"/>
        </w:rPr>
        <w:t>。</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 xml:space="preserve">八、政府性基金预算财政拨款收入支出情况说明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九、国有资本经营财政拨款支出情况说明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本部门无国有资本经营决算拨款收支，并已公开空表。</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十、机关运行经费支出情况说明。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2021年机关运行经费预算为33.99万元，支出决算为33.99万元，完成预算的100%。决算数与预算数持平，主要原因是本单位严格按照预算支出。</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十一、政府采购支出情况说明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部门政府采购支出总额共0万元，其中政府采购货物类支出0万元、政府采购服务类支出0万元、政府采购工程类支出0万元。授予中小企业合同金额0万元，占政府采购支出总额的0%，其中：授予小微企业合同金额0万元，占政府采购支出总额的0%。</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十二、国有资产占用及购置情况说明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末，本部门机关及所属单位共有车辆0辆，其中副厅级以上领导用车0辆，主要领导干部用车0辆，机要通信用车0辆，应急保障用车0辆，执法执勤用车0辆，特种专业技术用车0辆，离退休干部用车0辆，其他用车0辆。单价20万元以上的通用设备0台（套）；单价50万元以上的专用设备0台（套）。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年当年购置车辆0辆；购置单价20万元以上的通用设备0台（套）；购置单价50万元以上的专用设备0台（套）。</w:t>
      </w:r>
    </w:p>
    <w:p>
      <w:pPr>
        <w:numPr>
          <w:ilvl w:val="0"/>
          <w:numId w:val="3"/>
        </w:num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预算绩效情况说明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（一）</w:t>
      </w:r>
      <w:r>
        <w:rPr>
          <w:rFonts w:ascii="楷体_GB2312" w:hAnsi="宋体" w:eastAsia="楷体_GB2312" w:cs="楷体_GB2312"/>
          <w:b/>
          <w:color w:val="000000"/>
          <w:kern w:val="0"/>
          <w:sz w:val="32"/>
          <w:szCs w:val="32"/>
        </w:rPr>
        <w:t>预算绩效管理工作开展情况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2021</w:t>
      </w:r>
      <w:r>
        <w:rPr>
          <w:rFonts w:hint="eastAsia" w:ascii="仿宋_GB2312" w:hAnsi="仿宋_GB2312" w:eastAsia="仿宋_GB2312" w:cs="仿宋_GB2312"/>
          <w:kern w:val="0"/>
          <w:sz w:val="32"/>
          <w:szCs w:val="32"/>
        </w:rPr>
        <w:t>年未开展绩效管理工作，计划在下年度探索开展绩效管理工作。</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（二）部门决算中项目绩效自评结果</w:t>
      </w:r>
      <w:r>
        <w:rPr>
          <w:rFonts w:ascii="楷体_GB2312" w:hAnsi="宋体" w:eastAsia="楷体_GB2312" w:cs="楷体_GB2312"/>
          <w:b/>
          <w:color w:val="000000"/>
          <w:kern w:val="0"/>
          <w:sz w:val="32"/>
          <w:szCs w:val="32"/>
        </w:rPr>
        <w:t>。</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2021</w:t>
      </w:r>
      <w:r>
        <w:rPr>
          <w:rFonts w:hint="eastAsia" w:ascii="仿宋_GB2312" w:hAnsi="仿宋_GB2312" w:eastAsia="仿宋_GB2312" w:cs="仿宋_GB2312"/>
          <w:kern w:val="0"/>
          <w:sz w:val="32"/>
          <w:szCs w:val="32"/>
        </w:rPr>
        <w:t>年未开展绩效管理工作，计划在以后年度开展绩效管理工作。</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（三）部门整体支出绩效自评结果</w:t>
      </w:r>
      <w:r>
        <w:rPr>
          <w:rFonts w:ascii="楷体_GB2312" w:hAnsi="宋体" w:eastAsia="楷体_GB2312" w:cs="楷体_GB2312"/>
          <w:b/>
          <w:color w:val="000000"/>
          <w:kern w:val="0"/>
          <w:sz w:val="32"/>
          <w:szCs w:val="32"/>
        </w:rPr>
        <w:t>。</w:t>
      </w:r>
    </w:p>
    <w:p>
      <w:pPr>
        <w:spacing w:line="560" w:lineRule="exact"/>
        <w:ind w:firstLine="320" w:firstLineChars="100"/>
        <w:jc w:val="left"/>
        <w:rPr>
          <w:rFonts w:ascii="楷体_GB2312" w:hAnsi="宋体" w:eastAsia="楷体_GB2312" w:cs="楷体_GB2312"/>
          <w:b/>
          <w:color w:val="000000"/>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2021</w:t>
      </w:r>
      <w:r>
        <w:rPr>
          <w:rFonts w:hint="eastAsia" w:ascii="仿宋_GB2312" w:hAnsi="仿宋_GB2312" w:eastAsia="仿宋_GB2312" w:cs="仿宋_GB2312"/>
          <w:kern w:val="0"/>
          <w:sz w:val="32"/>
          <w:szCs w:val="32"/>
        </w:rPr>
        <w:t>年未开展绩效管理工作，计划在以后年度开展绩效管理工作。</w:t>
      </w:r>
    </w:p>
    <w:p>
      <w:pPr>
        <w:spacing w:line="560" w:lineRule="exact"/>
        <w:jc w:val="left"/>
        <w:rPr>
          <w:rFonts w:ascii="楷体_GB2312" w:hAnsi="宋体" w:eastAsia="楷体_GB2312" w:cs="楷体_GB2312"/>
          <w:b/>
          <w:color w:val="000000"/>
          <w:kern w:val="0"/>
          <w:sz w:val="32"/>
          <w:szCs w:val="32"/>
        </w:rPr>
      </w:pPr>
    </w:p>
    <w:p>
      <w:pPr>
        <w:spacing w:line="560" w:lineRule="exact"/>
        <w:jc w:val="left"/>
        <w:rPr>
          <w:rFonts w:ascii="楷体_GB2312" w:hAnsi="宋体" w:eastAsia="楷体_GB2312" w:cs="楷体_GB2312"/>
          <w:b/>
          <w:color w:val="000000"/>
          <w:kern w:val="0"/>
          <w:sz w:val="32"/>
          <w:szCs w:val="32"/>
        </w:rPr>
      </w:pPr>
    </w:p>
    <w:tbl>
      <w:tblPr>
        <w:tblStyle w:val="6"/>
        <w:tblW w:w="0" w:type="auto"/>
        <w:tblInd w:w="0" w:type="dxa"/>
        <w:tblLayout w:type="fixed"/>
        <w:tblCellMar>
          <w:top w:w="0" w:type="dxa"/>
          <w:left w:w="0" w:type="dxa"/>
          <w:bottom w:w="0" w:type="dxa"/>
          <w:right w:w="0" w:type="dxa"/>
        </w:tblCellMar>
      </w:tblPr>
      <w:tblGrid>
        <w:gridCol w:w="299"/>
        <w:gridCol w:w="226"/>
        <w:gridCol w:w="166"/>
        <w:gridCol w:w="459"/>
        <w:gridCol w:w="289"/>
        <w:gridCol w:w="894"/>
        <w:gridCol w:w="1245"/>
        <w:gridCol w:w="632"/>
        <w:gridCol w:w="1225"/>
        <w:gridCol w:w="51"/>
        <w:gridCol w:w="621"/>
        <w:gridCol w:w="347"/>
        <w:gridCol w:w="282"/>
        <w:gridCol w:w="86"/>
        <w:gridCol w:w="346"/>
        <w:gridCol w:w="380"/>
        <w:gridCol w:w="252"/>
        <w:gridCol w:w="218"/>
        <w:gridCol w:w="664"/>
        <w:gridCol w:w="158"/>
      </w:tblGrid>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spacing w:line="58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市级预算（项目）绩效目标自评表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single" w:color="000000" w:sz="4" w:space="0"/>
              <w:right w:val="nil"/>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专项（项目）名称</w:t>
            </w:r>
          </w:p>
        </w:tc>
        <w:tc>
          <w:tcPr>
            <w:tcW w:w="6507" w:type="dxa"/>
            <w:gridSpan w:val="1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（部门预算项目或专项名称）</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市级主管部门</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实施单位</w:t>
            </w:r>
          </w:p>
        </w:tc>
        <w:tc>
          <w:tcPr>
            <w:tcW w:w="2104"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项目资金（万元）</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全年预算数（A）</w:t>
            </w: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全年执行数（B）</w:t>
            </w: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执行率（B/A）</w:t>
            </w: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年度资金总额：</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其中:市级财政资金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 其他资金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年度总体目标 </w:t>
            </w: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年初设定目标</w:t>
            </w: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全年实际完成情况</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绩</w:t>
            </w:r>
          </w:p>
          <w:p>
            <w:pPr>
              <w:spacing w:line="220" w:lineRule="exact"/>
              <w:jc w:val="center"/>
              <w:textAlignment w:val="center"/>
              <w:rPr>
                <w:rFonts w:ascii="宋体" w:hAnsi="宋体" w:cs="宋体"/>
                <w:color w:val="000000"/>
                <w:kern w:val="0"/>
                <w:szCs w:val="21"/>
              </w:rPr>
            </w:pPr>
          </w:p>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效</w:t>
            </w:r>
          </w:p>
          <w:p>
            <w:pPr>
              <w:spacing w:line="220" w:lineRule="exact"/>
              <w:jc w:val="center"/>
              <w:textAlignment w:val="center"/>
              <w:rPr>
                <w:rFonts w:ascii="宋体" w:hAnsi="宋体" w:cs="宋体"/>
                <w:color w:val="000000"/>
                <w:kern w:val="0"/>
                <w:szCs w:val="21"/>
              </w:rPr>
            </w:pPr>
          </w:p>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指</w:t>
            </w:r>
          </w:p>
          <w:p>
            <w:pPr>
              <w:spacing w:line="220" w:lineRule="exact"/>
              <w:jc w:val="center"/>
              <w:textAlignment w:val="center"/>
              <w:rPr>
                <w:rFonts w:ascii="宋体" w:hAnsi="宋体" w:cs="宋体"/>
                <w:color w:val="000000"/>
                <w:kern w:val="0"/>
                <w:szCs w:val="21"/>
              </w:rPr>
            </w:pP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标</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年度指标值 </w:t>
            </w: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全年完成值</w:t>
            </w: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未完成原因改进措施</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经济效益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社会效益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rPr>
            </w:pPr>
            <w:r>
              <w:rPr>
                <w:rFonts w:hint="eastAsia" w:ascii="宋体" w:hAnsi="宋体" w:cs="宋体"/>
                <w:color w:val="000000"/>
                <w:kern w:val="0"/>
                <w:szCs w:val="21"/>
              </w:rPr>
              <w:t>生态效益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服务对象满意度指标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说明</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8840" w:type="dxa"/>
            <w:gridSpan w:val="20"/>
            <w:tcBorders>
              <w:top w:val="single" w:color="000000" w:sz="4" w:space="0"/>
              <w:left w:val="nil"/>
              <w:bottom w:val="nil"/>
              <w:right w:val="nil"/>
            </w:tcBorders>
            <w:tcMar>
              <w:top w:w="12" w:type="dxa"/>
              <w:left w:w="12" w:type="dxa"/>
              <w:right w:w="12" w:type="dxa"/>
            </w:tcMar>
            <w:vAlign w:val="center"/>
          </w:tcPr>
          <w:p>
            <w:pPr>
              <w:spacing w:line="240" w:lineRule="exact"/>
              <w:jc w:val="left"/>
              <w:textAlignment w:val="center"/>
              <w:rPr>
                <w:rFonts w:ascii="宋体" w:hAnsi="宋体" w:cs="宋体"/>
                <w:color w:val="000000"/>
                <w:kern w:val="0"/>
                <w:sz w:val="18"/>
                <w:szCs w:val="18"/>
              </w:rPr>
            </w:pPr>
          </w:p>
          <w:p>
            <w:pPr>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注：1、其他资金包括和财政资金共同投入到同一项目的自有资金、社会资金，以及以前年度的结余资金等。</w:t>
            </w:r>
          </w:p>
          <w:p>
            <w:pPr>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2、定量指标，资金使用单位填写本地区实际完成数。主管部门汇总时，对绝对值直接累加计算，相对值按照资金额度加权平均计算。</w:t>
            </w:r>
          </w:p>
          <w:p>
            <w:pPr>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pPr>
              <w:spacing w:line="240" w:lineRule="exact"/>
              <w:jc w:val="left"/>
              <w:textAlignment w:val="center"/>
              <w:rPr>
                <w:rFonts w:ascii="宋体" w:hAnsi="宋体" w:cs="宋体"/>
                <w:color w:val="000000"/>
                <w:kern w:val="0"/>
                <w:sz w:val="18"/>
                <w:szCs w:val="18"/>
              </w:rPr>
            </w:pPr>
          </w:p>
          <w:p>
            <w:pPr>
              <w:spacing w:line="240" w:lineRule="exac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gridAfter w:val="1"/>
          <w:wAfter w:w="158" w:type="dxa"/>
          <w:trHeight w:val="90" w:hRule="atLeast"/>
        </w:trPr>
        <w:tc>
          <w:tcPr>
            <w:tcW w:w="8682" w:type="dxa"/>
            <w:gridSpan w:val="19"/>
            <w:tcBorders>
              <w:top w:val="nil"/>
              <w:left w:val="nil"/>
              <w:bottom w:val="nil"/>
              <w:right w:val="nil"/>
            </w:tcBorders>
            <w:tcMar>
              <w:top w:w="12" w:type="dxa"/>
              <w:left w:w="12" w:type="dxa"/>
              <w:right w:w="12" w:type="dxa"/>
            </w:tcMar>
            <w:vAlign w:val="center"/>
          </w:tcPr>
          <w:p>
            <w:pPr>
              <w:adjustRightInd w:val="0"/>
              <w:snapToGrid w:val="0"/>
              <w:spacing w:line="560" w:lineRule="exact"/>
              <w:ind w:firstLine="880" w:firstLineChars="200"/>
              <w:jc w:val="center"/>
              <w:rPr>
                <w:rFonts w:ascii="方正小标宋简体" w:hAnsi="方正小标宋简体" w:eastAsia="方正小标宋简体" w:cs="方正小标宋简体"/>
                <w:color w:val="000000"/>
                <w:kern w:val="0"/>
                <w:sz w:val="44"/>
                <w:szCs w:val="44"/>
              </w:rPr>
            </w:pPr>
          </w:p>
          <w:p>
            <w:pPr>
              <w:adjustRightInd w:val="0"/>
              <w:snapToGrid w:val="0"/>
              <w:spacing w:line="560" w:lineRule="exact"/>
              <w:ind w:firstLine="880" w:firstLineChars="200"/>
              <w:jc w:val="center"/>
              <w:rPr>
                <w:rFonts w:ascii="方正小标宋简体" w:hAnsi="方正小标宋简体" w:eastAsia="方正小标宋简体" w:cs="方正小标宋简体"/>
                <w:color w:val="000000"/>
                <w:kern w:val="0"/>
                <w:sz w:val="44"/>
                <w:szCs w:val="44"/>
              </w:rPr>
            </w:pPr>
          </w:p>
          <w:p>
            <w:pPr>
              <w:adjustRightInd w:val="0"/>
              <w:snapToGrid w:val="0"/>
              <w:spacing w:line="560" w:lineRule="exact"/>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部门整体支出绩效自评表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填报单位：自评得分：</w:t>
            </w: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（一）简要概述部门职能与职责。</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（二）简要概述部门支出情况，按活动内容分类。</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（三）简要概述当年政府下达的重点工作。</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分值</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指标说明</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评分标准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指标值计算公工和数据获取方式</w:t>
            </w: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目标值</w:t>
            </w: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完成值</w:t>
            </w: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得分</w:t>
            </w: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未完成原因分析与改进措施</w:t>
            </w: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绩效指标分析与建议</w:t>
            </w: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nil"/>
              <w:left w:val="nil"/>
              <w:bottom w:val="nil"/>
              <w:right w:val="nil"/>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预算完成率（10分）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预算完成率＝（预算完成数/预算数）×100%，用以反映和考核部门（单位）预算完成程度。</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预算完成数：部门（单位）本年度实际完成的预算数。</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预算数：财政部门批复的本年度部门（单位）预算数。</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kern w:val="0"/>
                <w:sz w:val="18"/>
                <w:szCs w:val="18"/>
              </w:rPr>
              <w:t>预算</w:t>
            </w:r>
            <w:r>
              <w:rPr>
                <w:rFonts w:hint="eastAsia" w:ascii="宋体" w:hAnsi="宋体" w:cs="宋体"/>
                <w:color w:val="000000"/>
                <w:spacing w:val="-6"/>
                <w:kern w:val="0"/>
                <w:sz w:val="18"/>
                <w:szCs w:val="18"/>
              </w:rPr>
              <w:t>完成率＝100%的，得10分。</w:t>
            </w:r>
          </w:p>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spacing w:val="-6"/>
                <w:kern w:val="0"/>
                <w:sz w:val="18"/>
                <w:szCs w:val="18"/>
              </w:rPr>
              <w:t>预算完成率≥95%的，得9分。</w:t>
            </w:r>
          </w:p>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spacing w:val="-6"/>
                <w:kern w:val="0"/>
                <w:sz w:val="18"/>
                <w:szCs w:val="18"/>
              </w:rPr>
              <w:t>预算完成率在90%（含）和95%之间，得8分。</w:t>
            </w:r>
          </w:p>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spacing w:val="-6"/>
                <w:kern w:val="0"/>
                <w:sz w:val="18"/>
                <w:szCs w:val="18"/>
              </w:rPr>
              <w:t>预算完成率在85%（含）和90%之间，得7分。</w:t>
            </w:r>
          </w:p>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spacing w:val="-6"/>
                <w:kern w:val="0"/>
                <w:sz w:val="18"/>
                <w:szCs w:val="18"/>
              </w:rPr>
              <w:t>预算完成率在80%（含）和85%之间，得6分。</w:t>
            </w:r>
          </w:p>
          <w:p>
            <w:pPr>
              <w:widowControl/>
              <w:spacing w:line="230" w:lineRule="exact"/>
              <w:jc w:val="left"/>
              <w:textAlignment w:val="center"/>
              <w:rPr>
                <w:rFonts w:ascii="宋体" w:hAnsi="宋体" w:cs="宋体"/>
                <w:color w:val="000000"/>
                <w:spacing w:val="-6"/>
                <w:kern w:val="0"/>
                <w:sz w:val="18"/>
                <w:szCs w:val="18"/>
              </w:rPr>
            </w:pPr>
            <w:r>
              <w:rPr>
                <w:rFonts w:hint="eastAsia" w:ascii="宋体" w:hAnsi="宋体" w:cs="宋体"/>
                <w:color w:val="000000"/>
                <w:spacing w:val="-6"/>
                <w:kern w:val="0"/>
                <w:sz w:val="18"/>
                <w:szCs w:val="18"/>
              </w:rPr>
              <w:t>预算完成率在70%（含）和80%之间，得4分。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预算完成率〈70%”的，得0分。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预算调整率（5分）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预算调整数＝（预算调整数/预算数）×100%，用以反映和考核部门（单位）预算的调整程度。</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预算调整数：部门（单位）在本年度内涉及预算的追加、追减或结构调整的资金总和（因落实国家政策、发生不可抗力、上级部门或本级党委政府临时交办而产生的调整除外）。</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预算包括一般公共预算与政府性基金预算。</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预算调整率绝对值≤5%，得5分。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预算调整绝对值〉5%的，每增加0.1个百分点扣0.1分，扣完为止。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支出进度率（5分）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1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支出进度率＝（实际支出/支出预算）×100%，用以反映和考核部门（单位）预算执行的及时性和均衡性程度。</w:t>
            </w:r>
          </w:p>
          <w:p>
            <w:pPr>
              <w:widowControl/>
              <w:spacing w:line="21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半年支出进度＝部门上半年实际支出/（上年结余结转+本年部门预算安排+上半年执行中追加追减）*100%。</w:t>
            </w:r>
          </w:p>
          <w:p>
            <w:pPr>
              <w:widowControl/>
              <w:spacing w:line="21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前三季度支出进度＝部门前三季度实际支出/（上年结余结转+本年部门预算安排+前三季度执行中追加追减）*100%。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半年进度，进度率≥45%，得2分；进度率在40%（含）和45%之间，得1分；进度率〈40%，得0分。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前三季度进度：进度率≥75%，得3分；进度率在60%（含）和75%之间，得2分；进度率〈60%，得0分。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预算编制准确率（5分）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部门预算中除财政拨款外的其他收入预算与决算差异率。</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预算编制准确率＝其他收入决算数/其他收入预算数×100%-100%。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预算编制准确率≤20%，得5分。</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预算编制准确率在20%和40%（含）之间，得3分。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预算编制准确率＞40%，得0分。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过程</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“三公经费”控制率（5分）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“三公经费”控制率＝（“三公经费”实际支出数/“三公经费”预算安排数×100%，用以反映和考核部门（单位）对“三公经费”的实际控制程度。</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三公经费控制率≤100%，得5分，每增加0.1个百分点扣0.5分，扣完为止。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22"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资产管理规范性（5分）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pacing w:val="-11"/>
                <w:kern w:val="0"/>
                <w:sz w:val="18"/>
                <w:szCs w:val="18"/>
              </w:rPr>
            </w:pPr>
            <w:r>
              <w:rPr>
                <w:rFonts w:hint="eastAsia" w:ascii="宋体" w:hAnsi="宋体" w:cs="宋体"/>
                <w:color w:val="000000"/>
                <w:spacing w:val="-11"/>
                <w:kern w:val="0"/>
                <w:sz w:val="18"/>
                <w:szCs w:val="18"/>
              </w:rPr>
              <w:t>部门（单位）资产管理是否规范，用以反映和考核部门（单位）资产管理情况。</w:t>
            </w:r>
          </w:p>
          <w:p>
            <w:pPr>
              <w:widowControl/>
              <w:spacing w:line="230" w:lineRule="exact"/>
              <w:jc w:val="left"/>
              <w:textAlignment w:val="center"/>
              <w:rPr>
                <w:rFonts w:ascii="宋体" w:hAnsi="宋体" w:cs="宋体"/>
                <w:color w:val="000000"/>
                <w:spacing w:val="-11"/>
                <w:kern w:val="0"/>
                <w:sz w:val="18"/>
                <w:szCs w:val="18"/>
              </w:rPr>
            </w:pPr>
            <w:r>
              <w:rPr>
                <w:rFonts w:hint="eastAsia" w:ascii="宋体" w:hAnsi="宋体" w:cs="宋体"/>
                <w:color w:val="000000"/>
                <w:spacing w:val="-11"/>
                <w:kern w:val="0"/>
                <w:sz w:val="18"/>
                <w:szCs w:val="18"/>
              </w:rPr>
              <w:t>1、新增资产配置按预算执行。</w:t>
            </w:r>
          </w:p>
          <w:p>
            <w:pPr>
              <w:widowControl/>
              <w:spacing w:line="230" w:lineRule="exact"/>
              <w:jc w:val="left"/>
              <w:textAlignment w:val="center"/>
              <w:rPr>
                <w:rFonts w:ascii="宋体" w:hAnsi="宋体" w:cs="宋体"/>
                <w:color w:val="000000"/>
                <w:spacing w:val="-11"/>
                <w:kern w:val="0"/>
                <w:sz w:val="18"/>
                <w:szCs w:val="18"/>
              </w:rPr>
            </w:pPr>
            <w:r>
              <w:rPr>
                <w:rFonts w:hint="eastAsia" w:ascii="宋体" w:hAnsi="宋体" w:cs="宋体"/>
                <w:color w:val="000000"/>
                <w:spacing w:val="-11"/>
                <w:kern w:val="0"/>
                <w:sz w:val="18"/>
                <w:szCs w:val="18"/>
              </w:rPr>
              <w:t>2、资产有偿使用、处置按规定程序审批。</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11"/>
                <w:kern w:val="0"/>
                <w:sz w:val="18"/>
                <w:szCs w:val="18"/>
              </w:rPr>
              <w:t>3、资产收益及时、足额上缴财务。</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资金使用合规性（5分）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部门（单位）使用预算资金是否符合相关的预算财务管理制度的规定，用以反映和考核部门（单位）预算资金的规范运行情况。</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1、符合国家财经法规和财务管理制度规定以及有关专项资金管理办法的规定；</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2、资金的拨付有完整的审批程序和手续；</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3、重大项目开支经过评估论证；</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4、符合部门预算批复的用途；</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5、不存在截留、挤占、挪用、虚列支出等情况。</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1083"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效果</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履职尽职（60分）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项目产出（40分）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1、若为定性指标，根据“三档”原则分别按照指标分值的100-80%（含）、80-50%（含）、50-10%来记分；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2508"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项目效益（20分）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备注：</w:t>
            </w:r>
          </w:p>
          <w:p>
            <w:pPr>
              <w:widowControl/>
              <w:spacing w:line="23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1、“项目产出”和“项目效果”直接细化成部门年初绩效目标中的指标，并根据重要程度赋权。</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ind w:firstLine="964" w:firstLineChars="300"/>
        <w:rPr>
          <w:rFonts w:ascii="楷体" w:hAnsi="楷体" w:eastAsia="楷体" w:cs="楷体"/>
          <w:b/>
          <w:bCs/>
          <w:sz w:val="32"/>
          <w:szCs w:val="40"/>
        </w:rPr>
      </w:pPr>
    </w:p>
    <w:p>
      <w:pPr>
        <w:ind w:firstLine="964" w:firstLineChars="300"/>
        <w:rPr>
          <w:rFonts w:ascii="楷体" w:hAnsi="楷体" w:eastAsia="楷体" w:cs="楷体"/>
          <w:b/>
          <w:bCs/>
          <w:sz w:val="32"/>
          <w:szCs w:val="40"/>
        </w:rPr>
      </w:pPr>
    </w:p>
    <w:p>
      <w:pPr>
        <w:widowControl/>
        <w:numPr>
          <w:ilvl w:val="0"/>
          <w:numId w:val="4"/>
        </w:numPr>
        <w:ind w:firstLine="640" w:firstLineChars="200"/>
        <w:jc w:val="center"/>
        <w:rPr>
          <w:rFonts w:ascii="黑体" w:hAnsi="黑体" w:eastAsia="黑体" w:cs="黑体"/>
          <w:bCs/>
          <w:kern w:val="0"/>
          <w:sz w:val="32"/>
          <w:szCs w:val="32"/>
        </w:rPr>
      </w:pPr>
      <w:r>
        <w:rPr>
          <w:rFonts w:hint="eastAsia" w:ascii="黑体" w:hAnsi="黑体" w:eastAsia="黑体" w:cs="黑体"/>
          <w:bCs/>
          <w:kern w:val="0"/>
          <w:sz w:val="32"/>
          <w:szCs w:val="32"/>
        </w:rPr>
        <w:t>专业名词解释</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1、基本支出：指为保障机构正常运转、完成日常工作任务而发生的各项支出。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2、项目支出：指单位为完成特定的行政工作任务或事业发展目标所发生的各项支出。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3、“三公”经费：指部门使用一般公共预算财政拨款安排的因公出国（境）费、公务用车购置及运行费和公务接待费支出。</w:t>
      </w:r>
    </w:p>
    <w:p>
      <w:pPr>
        <w:spacing w:line="6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、机关运行经费：指行政单位和参照公务员法管理的事业单位使用一般公共预算财政拨款支出的日常公用经费。</w:t>
      </w:r>
    </w:p>
    <w:p>
      <w:pPr>
        <w:widowControl/>
        <w:ind w:firstLine="640" w:firstLineChars="200"/>
        <w:rPr>
          <w:rFonts w:ascii="仿宋_GB2312" w:hAnsi="仿宋_GB2312" w:eastAsia="仿宋_GB2312" w:cs="仿宋_GB2312"/>
          <w:kern w:val="0"/>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- 17 -</w:t>
                </w:r>
                <w:r>
                  <w:rPr>
                    <w:rFonts w:hint="eastAsia"/>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80C8"/>
    <w:multiLevelType w:val="singleLevel"/>
    <w:tmpl w:val="8ECD80C8"/>
    <w:lvl w:ilvl="0" w:tentative="0">
      <w:start w:val="2"/>
      <w:numFmt w:val="chineseCounting"/>
      <w:suff w:val="space"/>
      <w:lvlText w:val="第%1部分"/>
      <w:lvlJc w:val="left"/>
      <w:rPr>
        <w:rFonts w:hint="eastAsia"/>
      </w:rPr>
    </w:lvl>
  </w:abstractNum>
  <w:abstractNum w:abstractNumId="1">
    <w:nsid w:val="B128EE28"/>
    <w:multiLevelType w:val="singleLevel"/>
    <w:tmpl w:val="B128EE28"/>
    <w:lvl w:ilvl="0" w:tentative="0">
      <w:start w:val="2"/>
      <w:numFmt w:val="chineseCounting"/>
      <w:suff w:val="nothing"/>
      <w:lvlText w:val="%1、"/>
      <w:lvlJc w:val="left"/>
      <w:rPr>
        <w:rFonts w:hint="eastAsia"/>
      </w:rPr>
    </w:lvl>
  </w:abstractNum>
  <w:abstractNum w:abstractNumId="2">
    <w:nsid w:val="CDB4A7C7"/>
    <w:multiLevelType w:val="singleLevel"/>
    <w:tmpl w:val="CDB4A7C7"/>
    <w:lvl w:ilvl="0" w:tentative="0">
      <w:start w:val="13"/>
      <w:numFmt w:val="chineseCounting"/>
      <w:suff w:val="nothing"/>
      <w:lvlText w:val="%1、"/>
      <w:lvlJc w:val="left"/>
      <w:rPr>
        <w:rFonts w:hint="eastAsia"/>
      </w:rPr>
    </w:lvl>
  </w:abstractNum>
  <w:abstractNum w:abstractNumId="3">
    <w:nsid w:val="42186A6F"/>
    <w:multiLevelType w:val="singleLevel"/>
    <w:tmpl w:val="42186A6F"/>
    <w:lvl w:ilvl="0" w:tentative="0">
      <w:start w:val="4"/>
      <w:numFmt w:val="chineseCounting"/>
      <w:suff w:val="space"/>
      <w:lvlText w:val="第%1部分"/>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zNzU0YTk3NDgwYjBlNmUwZGRhMGQyYjYxYmE3ZWEifQ=="/>
  </w:docVars>
  <w:rsids>
    <w:rsidRoot w:val="00172A27"/>
    <w:rsid w:val="00041EA6"/>
    <w:rsid w:val="000978E7"/>
    <w:rsid w:val="000C598C"/>
    <w:rsid w:val="000D0687"/>
    <w:rsid w:val="00115618"/>
    <w:rsid w:val="001507EA"/>
    <w:rsid w:val="00172A27"/>
    <w:rsid w:val="00195642"/>
    <w:rsid w:val="002258E4"/>
    <w:rsid w:val="00246B69"/>
    <w:rsid w:val="00292D02"/>
    <w:rsid w:val="0038162C"/>
    <w:rsid w:val="003E315E"/>
    <w:rsid w:val="00410337"/>
    <w:rsid w:val="005174AC"/>
    <w:rsid w:val="00575C29"/>
    <w:rsid w:val="005F7598"/>
    <w:rsid w:val="007460F8"/>
    <w:rsid w:val="00783155"/>
    <w:rsid w:val="00863CAD"/>
    <w:rsid w:val="00942109"/>
    <w:rsid w:val="009A344F"/>
    <w:rsid w:val="009B452A"/>
    <w:rsid w:val="009E6E4C"/>
    <w:rsid w:val="00AE6567"/>
    <w:rsid w:val="00B960C8"/>
    <w:rsid w:val="00BA5169"/>
    <w:rsid w:val="00BB4583"/>
    <w:rsid w:val="00BC7AFB"/>
    <w:rsid w:val="00C35E7B"/>
    <w:rsid w:val="00CE5FC1"/>
    <w:rsid w:val="00E422F9"/>
    <w:rsid w:val="00E442BE"/>
    <w:rsid w:val="00E71342"/>
    <w:rsid w:val="00F34D56"/>
    <w:rsid w:val="00F40983"/>
    <w:rsid w:val="00F63A62"/>
    <w:rsid w:val="00F72879"/>
    <w:rsid w:val="00F82DE8"/>
    <w:rsid w:val="00FC336B"/>
    <w:rsid w:val="00FE5146"/>
    <w:rsid w:val="00FE7CEA"/>
    <w:rsid w:val="00FF7DDD"/>
    <w:rsid w:val="01066A48"/>
    <w:rsid w:val="01257DDA"/>
    <w:rsid w:val="017F49BE"/>
    <w:rsid w:val="019127B6"/>
    <w:rsid w:val="01B34E22"/>
    <w:rsid w:val="02420DBF"/>
    <w:rsid w:val="02510197"/>
    <w:rsid w:val="02CD757C"/>
    <w:rsid w:val="03016458"/>
    <w:rsid w:val="036B7A2F"/>
    <w:rsid w:val="03F23405"/>
    <w:rsid w:val="046063D3"/>
    <w:rsid w:val="04820ADC"/>
    <w:rsid w:val="04DC2960"/>
    <w:rsid w:val="04F75026"/>
    <w:rsid w:val="05194C10"/>
    <w:rsid w:val="052A53FB"/>
    <w:rsid w:val="05674A17"/>
    <w:rsid w:val="05940AC6"/>
    <w:rsid w:val="05CD1092"/>
    <w:rsid w:val="05EF122C"/>
    <w:rsid w:val="062260D2"/>
    <w:rsid w:val="068F1F19"/>
    <w:rsid w:val="075C5614"/>
    <w:rsid w:val="07A174CB"/>
    <w:rsid w:val="07B44696"/>
    <w:rsid w:val="086D1B6C"/>
    <w:rsid w:val="086F56BE"/>
    <w:rsid w:val="08815682"/>
    <w:rsid w:val="090B2132"/>
    <w:rsid w:val="09187C60"/>
    <w:rsid w:val="095D5956"/>
    <w:rsid w:val="097A7FD3"/>
    <w:rsid w:val="09BE11B4"/>
    <w:rsid w:val="0A025689"/>
    <w:rsid w:val="0A247ED7"/>
    <w:rsid w:val="0A3A003E"/>
    <w:rsid w:val="0A431D19"/>
    <w:rsid w:val="0A791381"/>
    <w:rsid w:val="0A9072B7"/>
    <w:rsid w:val="0AAC240E"/>
    <w:rsid w:val="0B5A4560"/>
    <w:rsid w:val="0B7D3DAB"/>
    <w:rsid w:val="0B823BCE"/>
    <w:rsid w:val="0BA53A2D"/>
    <w:rsid w:val="0BF3277C"/>
    <w:rsid w:val="0CA044D6"/>
    <w:rsid w:val="0CB832EC"/>
    <w:rsid w:val="0CC94826"/>
    <w:rsid w:val="0D0E67D9"/>
    <w:rsid w:val="0D166265"/>
    <w:rsid w:val="0D244E26"/>
    <w:rsid w:val="0D321C3F"/>
    <w:rsid w:val="0D870F11"/>
    <w:rsid w:val="0E682C65"/>
    <w:rsid w:val="0E8A54E0"/>
    <w:rsid w:val="0EE02FCE"/>
    <w:rsid w:val="0F1A694A"/>
    <w:rsid w:val="0F2A3388"/>
    <w:rsid w:val="0FAD2CAA"/>
    <w:rsid w:val="10342128"/>
    <w:rsid w:val="104D01F0"/>
    <w:rsid w:val="104E6D46"/>
    <w:rsid w:val="105772C0"/>
    <w:rsid w:val="10814651"/>
    <w:rsid w:val="10A06571"/>
    <w:rsid w:val="112957E7"/>
    <w:rsid w:val="1146606A"/>
    <w:rsid w:val="11B4155D"/>
    <w:rsid w:val="120D1325"/>
    <w:rsid w:val="123A47A4"/>
    <w:rsid w:val="12824D51"/>
    <w:rsid w:val="128819B3"/>
    <w:rsid w:val="12C765D0"/>
    <w:rsid w:val="12E94936"/>
    <w:rsid w:val="130C4392"/>
    <w:rsid w:val="136B5C3A"/>
    <w:rsid w:val="136D4B39"/>
    <w:rsid w:val="13BD4750"/>
    <w:rsid w:val="13F76DF0"/>
    <w:rsid w:val="13FA068E"/>
    <w:rsid w:val="142C7704"/>
    <w:rsid w:val="1444190A"/>
    <w:rsid w:val="14AB7CFC"/>
    <w:rsid w:val="152A4FA3"/>
    <w:rsid w:val="15520056"/>
    <w:rsid w:val="15B65B5B"/>
    <w:rsid w:val="15DA0777"/>
    <w:rsid w:val="16353C00"/>
    <w:rsid w:val="165740FB"/>
    <w:rsid w:val="168F118A"/>
    <w:rsid w:val="169D4B82"/>
    <w:rsid w:val="169F1133"/>
    <w:rsid w:val="16CE195E"/>
    <w:rsid w:val="16DF3B6C"/>
    <w:rsid w:val="177B7D38"/>
    <w:rsid w:val="17922577"/>
    <w:rsid w:val="17A84954"/>
    <w:rsid w:val="180E0310"/>
    <w:rsid w:val="180F5D63"/>
    <w:rsid w:val="18CD0120"/>
    <w:rsid w:val="1A2E2474"/>
    <w:rsid w:val="1A587EBD"/>
    <w:rsid w:val="1A7B096E"/>
    <w:rsid w:val="1AC800C5"/>
    <w:rsid w:val="1AF1658B"/>
    <w:rsid w:val="1B5C77AB"/>
    <w:rsid w:val="1B701D7A"/>
    <w:rsid w:val="1B7404EB"/>
    <w:rsid w:val="1C205BB0"/>
    <w:rsid w:val="1C674213"/>
    <w:rsid w:val="1D1E569E"/>
    <w:rsid w:val="1D7726D3"/>
    <w:rsid w:val="1DD97567"/>
    <w:rsid w:val="1E3B51E6"/>
    <w:rsid w:val="1E7A4F87"/>
    <w:rsid w:val="1EA01E32"/>
    <w:rsid w:val="1EBC7BD5"/>
    <w:rsid w:val="1EDD6BE3"/>
    <w:rsid w:val="1F5844BB"/>
    <w:rsid w:val="1F8F4C45"/>
    <w:rsid w:val="1FCF29CF"/>
    <w:rsid w:val="1FD816FC"/>
    <w:rsid w:val="20032679"/>
    <w:rsid w:val="200F101E"/>
    <w:rsid w:val="206969D3"/>
    <w:rsid w:val="210D3667"/>
    <w:rsid w:val="21535882"/>
    <w:rsid w:val="219F2875"/>
    <w:rsid w:val="21A97250"/>
    <w:rsid w:val="21C63505"/>
    <w:rsid w:val="21D35583"/>
    <w:rsid w:val="225C661C"/>
    <w:rsid w:val="22A36211"/>
    <w:rsid w:val="22AD4B1E"/>
    <w:rsid w:val="22BE676D"/>
    <w:rsid w:val="2322484B"/>
    <w:rsid w:val="23492A98"/>
    <w:rsid w:val="234F15B7"/>
    <w:rsid w:val="235169A2"/>
    <w:rsid w:val="237C10C0"/>
    <w:rsid w:val="23F44E0F"/>
    <w:rsid w:val="241C374F"/>
    <w:rsid w:val="24695C48"/>
    <w:rsid w:val="25235262"/>
    <w:rsid w:val="25BC7462"/>
    <w:rsid w:val="26372509"/>
    <w:rsid w:val="263B7010"/>
    <w:rsid w:val="26406DE6"/>
    <w:rsid w:val="26647BE9"/>
    <w:rsid w:val="2669541C"/>
    <w:rsid w:val="26D44D6F"/>
    <w:rsid w:val="26E36D60"/>
    <w:rsid w:val="2752567D"/>
    <w:rsid w:val="279D5FD1"/>
    <w:rsid w:val="27AD77C0"/>
    <w:rsid w:val="27F8683B"/>
    <w:rsid w:val="287966F2"/>
    <w:rsid w:val="287C1D82"/>
    <w:rsid w:val="28B644AC"/>
    <w:rsid w:val="28C5118C"/>
    <w:rsid w:val="28C8445F"/>
    <w:rsid w:val="28E55011"/>
    <w:rsid w:val="293F2663"/>
    <w:rsid w:val="29400A9D"/>
    <w:rsid w:val="294C6E3F"/>
    <w:rsid w:val="296C55EC"/>
    <w:rsid w:val="298D1A32"/>
    <w:rsid w:val="298E05F6"/>
    <w:rsid w:val="2A281CCA"/>
    <w:rsid w:val="2AD92954"/>
    <w:rsid w:val="2B8C0131"/>
    <w:rsid w:val="2BA11B42"/>
    <w:rsid w:val="2BAD31A0"/>
    <w:rsid w:val="2BF10171"/>
    <w:rsid w:val="2C6A3C86"/>
    <w:rsid w:val="2CB72498"/>
    <w:rsid w:val="2D1759B5"/>
    <w:rsid w:val="2D19039A"/>
    <w:rsid w:val="2D4505BF"/>
    <w:rsid w:val="2D5E3253"/>
    <w:rsid w:val="2D817A49"/>
    <w:rsid w:val="2D844526"/>
    <w:rsid w:val="2DEE0948"/>
    <w:rsid w:val="2DF126AA"/>
    <w:rsid w:val="2E5270F9"/>
    <w:rsid w:val="2E556795"/>
    <w:rsid w:val="2EAE5EA6"/>
    <w:rsid w:val="2EE74707"/>
    <w:rsid w:val="2FBC2844"/>
    <w:rsid w:val="302C5C1C"/>
    <w:rsid w:val="306B6744"/>
    <w:rsid w:val="30714421"/>
    <w:rsid w:val="3075429F"/>
    <w:rsid w:val="30C10112"/>
    <w:rsid w:val="31304251"/>
    <w:rsid w:val="31A3571E"/>
    <w:rsid w:val="31B17087"/>
    <w:rsid w:val="31EF0CAF"/>
    <w:rsid w:val="3216116C"/>
    <w:rsid w:val="321839F7"/>
    <w:rsid w:val="327C2D0E"/>
    <w:rsid w:val="331502A5"/>
    <w:rsid w:val="33225487"/>
    <w:rsid w:val="332D2F86"/>
    <w:rsid w:val="3341553A"/>
    <w:rsid w:val="33C65A3F"/>
    <w:rsid w:val="342A1FED"/>
    <w:rsid w:val="344057F2"/>
    <w:rsid w:val="34627E5E"/>
    <w:rsid w:val="347F164B"/>
    <w:rsid w:val="34FC47C0"/>
    <w:rsid w:val="34FE7347"/>
    <w:rsid w:val="35216FE2"/>
    <w:rsid w:val="354607EC"/>
    <w:rsid w:val="35585D62"/>
    <w:rsid w:val="35831E3A"/>
    <w:rsid w:val="35CB0616"/>
    <w:rsid w:val="35CF507F"/>
    <w:rsid w:val="362A5F7B"/>
    <w:rsid w:val="364F0CCA"/>
    <w:rsid w:val="365423FD"/>
    <w:rsid w:val="36D3294D"/>
    <w:rsid w:val="36E961AB"/>
    <w:rsid w:val="37141057"/>
    <w:rsid w:val="372877DA"/>
    <w:rsid w:val="37991DE9"/>
    <w:rsid w:val="37D52967"/>
    <w:rsid w:val="385801D3"/>
    <w:rsid w:val="38A2670A"/>
    <w:rsid w:val="38BE488D"/>
    <w:rsid w:val="38CC1D69"/>
    <w:rsid w:val="38CC3AF8"/>
    <w:rsid w:val="39340D74"/>
    <w:rsid w:val="39917B52"/>
    <w:rsid w:val="39A77CB4"/>
    <w:rsid w:val="39E43D28"/>
    <w:rsid w:val="3A2F7DC8"/>
    <w:rsid w:val="3A34761E"/>
    <w:rsid w:val="3A35161F"/>
    <w:rsid w:val="3A682C70"/>
    <w:rsid w:val="3A70356C"/>
    <w:rsid w:val="3ADB2718"/>
    <w:rsid w:val="3B85226F"/>
    <w:rsid w:val="3BB07E84"/>
    <w:rsid w:val="3C526A0A"/>
    <w:rsid w:val="3CD70179"/>
    <w:rsid w:val="3CE84C78"/>
    <w:rsid w:val="3D9077EA"/>
    <w:rsid w:val="3DD235BF"/>
    <w:rsid w:val="3DD24991"/>
    <w:rsid w:val="3DE2418D"/>
    <w:rsid w:val="3E4660FB"/>
    <w:rsid w:val="3EC443CD"/>
    <w:rsid w:val="3ED20604"/>
    <w:rsid w:val="3F111687"/>
    <w:rsid w:val="3F1F3312"/>
    <w:rsid w:val="3F320B3A"/>
    <w:rsid w:val="3F5256A8"/>
    <w:rsid w:val="3F5605BF"/>
    <w:rsid w:val="3F760BD6"/>
    <w:rsid w:val="3FB407E0"/>
    <w:rsid w:val="3FD558B7"/>
    <w:rsid w:val="3FF24A11"/>
    <w:rsid w:val="40173DBC"/>
    <w:rsid w:val="405170A3"/>
    <w:rsid w:val="415249EA"/>
    <w:rsid w:val="41564E27"/>
    <w:rsid w:val="416C5E41"/>
    <w:rsid w:val="4182744A"/>
    <w:rsid w:val="41A129A6"/>
    <w:rsid w:val="41DE6D8F"/>
    <w:rsid w:val="425902B9"/>
    <w:rsid w:val="42D77C69"/>
    <w:rsid w:val="43026447"/>
    <w:rsid w:val="43436BF1"/>
    <w:rsid w:val="435C3CCA"/>
    <w:rsid w:val="43A54067"/>
    <w:rsid w:val="43AE720D"/>
    <w:rsid w:val="43C91D40"/>
    <w:rsid w:val="44185071"/>
    <w:rsid w:val="443E2B82"/>
    <w:rsid w:val="446A77C7"/>
    <w:rsid w:val="44D73F50"/>
    <w:rsid w:val="458F374A"/>
    <w:rsid w:val="464078D3"/>
    <w:rsid w:val="465951C3"/>
    <w:rsid w:val="46A4431F"/>
    <w:rsid w:val="46B207D1"/>
    <w:rsid w:val="46C95B1B"/>
    <w:rsid w:val="46D36C9E"/>
    <w:rsid w:val="46F522FD"/>
    <w:rsid w:val="470B1C8F"/>
    <w:rsid w:val="47133199"/>
    <w:rsid w:val="472D2B52"/>
    <w:rsid w:val="47532640"/>
    <w:rsid w:val="47574ED5"/>
    <w:rsid w:val="475A6773"/>
    <w:rsid w:val="47794E4B"/>
    <w:rsid w:val="48612B46"/>
    <w:rsid w:val="49255A89"/>
    <w:rsid w:val="49297D2D"/>
    <w:rsid w:val="493F2FF6"/>
    <w:rsid w:val="49A34401"/>
    <w:rsid w:val="49CA5E32"/>
    <w:rsid w:val="49DC6E3E"/>
    <w:rsid w:val="4A45604E"/>
    <w:rsid w:val="4AE445A0"/>
    <w:rsid w:val="4AE750EB"/>
    <w:rsid w:val="4B9B7E24"/>
    <w:rsid w:val="4BA51E49"/>
    <w:rsid w:val="4C0F5D7E"/>
    <w:rsid w:val="4C2110A0"/>
    <w:rsid w:val="4C286E40"/>
    <w:rsid w:val="4C35155C"/>
    <w:rsid w:val="4CA50490"/>
    <w:rsid w:val="4CC163EF"/>
    <w:rsid w:val="4CCC3CC4"/>
    <w:rsid w:val="4CFB09F8"/>
    <w:rsid w:val="4D034DAF"/>
    <w:rsid w:val="4DB1337B"/>
    <w:rsid w:val="4DCB03CA"/>
    <w:rsid w:val="4DD0778F"/>
    <w:rsid w:val="4E015B9A"/>
    <w:rsid w:val="4E2247F7"/>
    <w:rsid w:val="4E741F6B"/>
    <w:rsid w:val="4F0F7597"/>
    <w:rsid w:val="501A4192"/>
    <w:rsid w:val="507B6464"/>
    <w:rsid w:val="508669F0"/>
    <w:rsid w:val="50C57353"/>
    <w:rsid w:val="50E471E1"/>
    <w:rsid w:val="514C73FA"/>
    <w:rsid w:val="51AD74AC"/>
    <w:rsid w:val="51B03FFD"/>
    <w:rsid w:val="52146381"/>
    <w:rsid w:val="525543A4"/>
    <w:rsid w:val="52BB78A7"/>
    <w:rsid w:val="52E57838"/>
    <w:rsid w:val="53513120"/>
    <w:rsid w:val="53AB6CD4"/>
    <w:rsid w:val="53DF7F32"/>
    <w:rsid w:val="54287C6C"/>
    <w:rsid w:val="54791C7A"/>
    <w:rsid w:val="54AB74B6"/>
    <w:rsid w:val="54F71AA5"/>
    <w:rsid w:val="559612BE"/>
    <w:rsid w:val="55AF5A9E"/>
    <w:rsid w:val="55CE7592"/>
    <w:rsid w:val="565537A4"/>
    <w:rsid w:val="565D3B8A"/>
    <w:rsid w:val="566825CC"/>
    <w:rsid w:val="56694C24"/>
    <w:rsid w:val="56731F29"/>
    <w:rsid w:val="56D97CC2"/>
    <w:rsid w:val="56DA342C"/>
    <w:rsid w:val="57382FF1"/>
    <w:rsid w:val="57CB2353"/>
    <w:rsid w:val="57CF7BD0"/>
    <w:rsid w:val="57FD26AC"/>
    <w:rsid w:val="58004757"/>
    <w:rsid w:val="58114390"/>
    <w:rsid w:val="585C34F2"/>
    <w:rsid w:val="585F1E3B"/>
    <w:rsid w:val="586E207E"/>
    <w:rsid w:val="58873140"/>
    <w:rsid w:val="58D72319"/>
    <w:rsid w:val="590A22F2"/>
    <w:rsid w:val="59374137"/>
    <w:rsid w:val="59DA50C6"/>
    <w:rsid w:val="59F91E1B"/>
    <w:rsid w:val="5A146C55"/>
    <w:rsid w:val="5A1C08F6"/>
    <w:rsid w:val="5A930952"/>
    <w:rsid w:val="5AFF2F4D"/>
    <w:rsid w:val="5B411CCC"/>
    <w:rsid w:val="5C190553"/>
    <w:rsid w:val="5C5057B9"/>
    <w:rsid w:val="5D437D2E"/>
    <w:rsid w:val="5D9B58E5"/>
    <w:rsid w:val="5DD40546"/>
    <w:rsid w:val="5DF66D9E"/>
    <w:rsid w:val="5E251431"/>
    <w:rsid w:val="5E605BBD"/>
    <w:rsid w:val="5E6E2DD8"/>
    <w:rsid w:val="5ECA1FD8"/>
    <w:rsid w:val="5ECC743B"/>
    <w:rsid w:val="5F105C3D"/>
    <w:rsid w:val="5F243FFB"/>
    <w:rsid w:val="5FF339BA"/>
    <w:rsid w:val="603B0596"/>
    <w:rsid w:val="60771CEC"/>
    <w:rsid w:val="60A20EF4"/>
    <w:rsid w:val="61745FC1"/>
    <w:rsid w:val="61906697"/>
    <w:rsid w:val="619C1A0A"/>
    <w:rsid w:val="61A84491"/>
    <w:rsid w:val="61D81265"/>
    <w:rsid w:val="61EB4DB4"/>
    <w:rsid w:val="61F70201"/>
    <w:rsid w:val="621903F0"/>
    <w:rsid w:val="625E13B5"/>
    <w:rsid w:val="625E7607"/>
    <w:rsid w:val="62AD1066"/>
    <w:rsid w:val="62E23D94"/>
    <w:rsid w:val="6315416A"/>
    <w:rsid w:val="632834EF"/>
    <w:rsid w:val="635731F6"/>
    <w:rsid w:val="640970FF"/>
    <w:rsid w:val="647C1E48"/>
    <w:rsid w:val="64D86177"/>
    <w:rsid w:val="65293EFC"/>
    <w:rsid w:val="658E1FB1"/>
    <w:rsid w:val="65AB59DB"/>
    <w:rsid w:val="65BD5062"/>
    <w:rsid w:val="65DC556A"/>
    <w:rsid w:val="66261EE3"/>
    <w:rsid w:val="66633175"/>
    <w:rsid w:val="666D0124"/>
    <w:rsid w:val="669D0A5F"/>
    <w:rsid w:val="671B1623"/>
    <w:rsid w:val="671B1725"/>
    <w:rsid w:val="672B02F1"/>
    <w:rsid w:val="676B143B"/>
    <w:rsid w:val="67721974"/>
    <w:rsid w:val="67746F85"/>
    <w:rsid w:val="67DC0A03"/>
    <w:rsid w:val="6901211F"/>
    <w:rsid w:val="69950145"/>
    <w:rsid w:val="69961435"/>
    <w:rsid w:val="6A4E1D0F"/>
    <w:rsid w:val="6B323762"/>
    <w:rsid w:val="6BAC53E8"/>
    <w:rsid w:val="6C007039"/>
    <w:rsid w:val="6DC9627D"/>
    <w:rsid w:val="6E3631E5"/>
    <w:rsid w:val="6EAB14DE"/>
    <w:rsid w:val="6F411E43"/>
    <w:rsid w:val="6F4D43F2"/>
    <w:rsid w:val="6F662168"/>
    <w:rsid w:val="6FCD36D6"/>
    <w:rsid w:val="701B6B38"/>
    <w:rsid w:val="703025E3"/>
    <w:rsid w:val="705C33D8"/>
    <w:rsid w:val="707031E9"/>
    <w:rsid w:val="70AB1939"/>
    <w:rsid w:val="70BD01A6"/>
    <w:rsid w:val="70CE15AA"/>
    <w:rsid w:val="7127008D"/>
    <w:rsid w:val="715776FB"/>
    <w:rsid w:val="716501F1"/>
    <w:rsid w:val="716A7665"/>
    <w:rsid w:val="717B46BE"/>
    <w:rsid w:val="71BC7FA5"/>
    <w:rsid w:val="71E55383"/>
    <w:rsid w:val="725054F3"/>
    <w:rsid w:val="726026CC"/>
    <w:rsid w:val="72944700"/>
    <w:rsid w:val="736B3932"/>
    <w:rsid w:val="738C598F"/>
    <w:rsid w:val="73EC1283"/>
    <w:rsid w:val="740526D8"/>
    <w:rsid w:val="7539539D"/>
    <w:rsid w:val="755F3023"/>
    <w:rsid w:val="756B5E6B"/>
    <w:rsid w:val="758130CB"/>
    <w:rsid w:val="75B30A0C"/>
    <w:rsid w:val="75BE5F9B"/>
    <w:rsid w:val="75C356FC"/>
    <w:rsid w:val="75D2624F"/>
    <w:rsid w:val="763E532E"/>
    <w:rsid w:val="764F4F89"/>
    <w:rsid w:val="76686157"/>
    <w:rsid w:val="76D64F73"/>
    <w:rsid w:val="7714445C"/>
    <w:rsid w:val="771A39E8"/>
    <w:rsid w:val="776C1F07"/>
    <w:rsid w:val="778A1405"/>
    <w:rsid w:val="78530F51"/>
    <w:rsid w:val="787B124F"/>
    <w:rsid w:val="79002D6F"/>
    <w:rsid w:val="79223926"/>
    <w:rsid w:val="797E3F97"/>
    <w:rsid w:val="79D3262E"/>
    <w:rsid w:val="7A0D129F"/>
    <w:rsid w:val="7A3251AA"/>
    <w:rsid w:val="7A6E771C"/>
    <w:rsid w:val="7A797BB3"/>
    <w:rsid w:val="7AA53BCD"/>
    <w:rsid w:val="7AE244DA"/>
    <w:rsid w:val="7B2F0E48"/>
    <w:rsid w:val="7BEF058D"/>
    <w:rsid w:val="7C142D60"/>
    <w:rsid w:val="7C315985"/>
    <w:rsid w:val="7C46787A"/>
    <w:rsid w:val="7C5D1D72"/>
    <w:rsid w:val="7C920E09"/>
    <w:rsid w:val="7D3F23E9"/>
    <w:rsid w:val="7D6C452F"/>
    <w:rsid w:val="7DD345AE"/>
    <w:rsid w:val="7E1959C6"/>
    <w:rsid w:val="7E284BA8"/>
    <w:rsid w:val="7E775881"/>
    <w:rsid w:val="7ECD724F"/>
    <w:rsid w:val="7F5434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1123</Words>
  <Characters>6404</Characters>
  <Lines>53</Lines>
  <Paragraphs>15</Paragraphs>
  <TotalTime>12</TotalTime>
  <ScaleCrop>false</ScaleCrop>
  <LinksUpToDate>false</LinksUpToDate>
  <CharactersWithSpaces>7512</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2022-10-25T08:00:00Z</dcterms:created>
  <dc:creator>Lenovo</dc:creator>
  <cp:lastModifiedBy>Administrator</cp:lastModifiedBy>
  <cp:lastPrinted>2021-09-24T01:23:00Z</cp:lastPrinted>
  <dcterms:modified xsi:type="dcterms:W3CDTF">2022-11-30T00:50:41Z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5F751703D4324380B9D59CC7CE846940</vt:lpwstr>
  </property>
</Properties>
</file>