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jc w:val="center"/>
        <w:rPr>
          <w:rFonts w:ascii="方正小标宋简体" w:hAnsi="方正小标宋简体" w:eastAsia="方正小标宋简体" w:cs="方正小标宋简体"/>
          <w:b/>
          <w:kern w:val="0"/>
          <w:sz w:val="52"/>
          <w:szCs w:val="52"/>
        </w:rPr>
      </w:pPr>
      <w:r>
        <w:rPr>
          <w:rFonts w:hint="eastAsia" w:ascii="方正小标宋简体" w:hAnsi="方正小标宋简体" w:eastAsia="方正小标宋简体" w:cs="方正小标宋简体"/>
          <w:b/>
          <w:kern w:val="0"/>
          <w:sz w:val="52"/>
          <w:szCs w:val="52"/>
        </w:rPr>
        <w:t>商洛市森林公安局</w:t>
      </w:r>
    </w:p>
    <w:p>
      <w:pPr>
        <w:widowControl/>
        <w:jc w:val="center"/>
        <w:rPr>
          <w:rFonts w:ascii="方正小标宋简体" w:hAnsi="方正小标宋简体" w:eastAsia="方正小标宋简体" w:cs="方正小标宋简体"/>
          <w:b/>
          <w:kern w:val="0"/>
          <w:sz w:val="52"/>
          <w:szCs w:val="52"/>
        </w:rPr>
      </w:pPr>
      <w:r>
        <w:rPr>
          <w:rFonts w:hint="eastAsia" w:ascii="方正小标宋简体" w:hAnsi="方正小标宋简体" w:eastAsia="方正小标宋简体" w:cs="方正小标宋简体"/>
          <w:b/>
          <w:kern w:val="0"/>
          <w:sz w:val="52"/>
          <w:szCs w:val="52"/>
        </w:rPr>
        <w:t>2021年部门决算</w:t>
      </w:r>
    </w:p>
    <w:p>
      <w:pPr>
        <w:widowControl/>
        <w:jc w:val="center"/>
        <w:rPr>
          <w:rFonts w:ascii="黑体" w:hAnsi="黑体" w:eastAsia="黑体" w:cs="黑体"/>
          <w:kern w:val="0"/>
          <w:sz w:val="72"/>
          <w:szCs w:val="72"/>
        </w:rPr>
      </w:pPr>
    </w:p>
    <w:p>
      <w:pPr>
        <w:widowControl/>
        <w:jc w:val="center"/>
        <w:rPr>
          <w:rFonts w:ascii="黑体" w:hAnsi="黑体" w:eastAsia="黑体" w:cs="黑体"/>
          <w:kern w:val="0"/>
          <w:sz w:val="72"/>
          <w:szCs w:val="7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ind w:firstLine="2100" w:firstLineChars="700"/>
        <w:rPr>
          <w:rFonts w:ascii="黑体" w:hAnsi="黑体" w:eastAsia="黑体" w:cs="黑体"/>
          <w:sz w:val="30"/>
          <w:szCs w:val="30"/>
        </w:rPr>
      </w:pPr>
      <w:r>
        <w:rPr>
          <w:rFonts w:hint="eastAsia" w:ascii="黑体" w:hAnsi="黑体" w:eastAsia="黑体" w:cs="黑体"/>
          <w:sz w:val="30"/>
          <w:szCs w:val="30"/>
        </w:rPr>
        <w:t xml:space="preserve">保密审查情况：已审查  </w:t>
      </w:r>
    </w:p>
    <w:p>
      <w:pPr>
        <w:widowControl/>
        <w:spacing w:line="560" w:lineRule="exact"/>
        <w:ind w:firstLine="1950" w:firstLineChars="650"/>
        <w:rPr>
          <w:rFonts w:ascii="黑体" w:hAnsi="黑体" w:eastAsia="黑体" w:cs="黑体"/>
          <w:kern w:val="0"/>
          <w:sz w:val="30"/>
          <w:szCs w:val="30"/>
        </w:rPr>
      </w:pPr>
      <w:r>
        <w:rPr>
          <w:rFonts w:hint="eastAsia" w:ascii="黑体" w:hAnsi="黑体" w:eastAsia="黑体" w:cs="黑体"/>
          <w:sz w:val="30"/>
          <w:szCs w:val="30"/>
        </w:rPr>
        <w:t>部门主要负责人审签情况：已审签</w:t>
      </w:r>
    </w:p>
    <w:p>
      <w:pPr>
        <w:widowControl/>
        <w:spacing w:line="560" w:lineRule="exac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rPr>
          <w:rFonts w:ascii="黑体" w:hAnsi="黑体" w:eastAsia="黑体" w:cs="黑体"/>
          <w:bCs/>
          <w:kern w:val="0"/>
          <w:sz w:val="32"/>
          <w:szCs w:val="32"/>
        </w:rPr>
      </w:pPr>
    </w:p>
    <w:p>
      <w:pPr>
        <w:widowControl/>
        <w:spacing w:line="560" w:lineRule="exact"/>
        <w:jc w:val="center"/>
        <w:rPr>
          <w:rFonts w:ascii="黑体" w:hAnsi="黑体" w:eastAsia="黑体" w:cs="黑体"/>
          <w:bCs/>
          <w:kern w:val="0"/>
          <w:sz w:val="32"/>
          <w:szCs w:val="32"/>
        </w:rPr>
      </w:pPr>
      <w:r>
        <w:rPr>
          <w:rFonts w:hint="eastAsia" w:ascii="黑体" w:hAnsi="黑体" w:eastAsia="黑体" w:cs="黑体"/>
          <w:bCs/>
          <w:kern w:val="0"/>
          <w:sz w:val="32"/>
          <w:szCs w:val="32"/>
        </w:rPr>
        <w:t>目 录</w:t>
      </w:r>
    </w:p>
    <w:p>
      <w:pPr>
        <w:widowControl/>
        <w:spacing w:line="560" w:lineRule="exact"/>
        <w:jc w:val="center"/>
        <w:rPr>
          <w:rFonts w:ascii="方正小标宋简体" w:hAnsi="方正小标宋简体" w:eastAsia="方正小标宋简体" w:cs="方正小标宋简体"/>
          <w:bCs/>
          <w:kern w:val="0"/>
          <w:sz w:val="32"/>
          <w:szCs w:val="32"/>
        </w:rPr>
      </w:pPr>
      <w:r>
        <w:rPr>
          <w:rFonts w:hint="eastAsia" w:ascii="方正小标宋简体" w:hAnsi="方正小标宋简体" w:eastAsia="方正小标宋简体" w:cs="方正小标宋简体"/>
          <w:bCs/>
          <w:kern w:val="0"/>
          <w:sz w:val="32"/>
          <w:szCs w:val="32"/>
        </w:rPr>
        <w:t>第一部分 部门概况</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一、部门主要职责及内设机构</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二、部门决算单位构成</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三、部门人员情况</w:t>
      </w:r>
    </w:p>
    <w:p>
      <w:pPr>
        <w:widowControl/>
        <w:spacing w:line="560" w:lineRule="exact"/>
        <w:jc w:val="center"/>
        <w:rPr>
          <w:rFonts w:ascii="方正小标宋简体" w:hAnsi="方正小标宋简体" w:eastAsia="方正小标宋简体" w:cs="方正小标宋简体"/>
          <w:bCs/>
          <w:kern w:val="0"/>
          <w:sz w:val="32"/>
          <w:szCs w:val="32"/>
        </w:rPr>
      </w:pPr>
      <w:r>
        <w:rPr>
          <w:rFonts w:hint="eastAsia" w:ascii="方正小标宋简体" w:hAnsi="方正小标宋简体" w:eastAsia="方正小标宋简体" w:cs="方正小标宋简体"/>
          <w:bCs/>
          <w:kern w:val="0"/>
          <w:sz w:val="32"/>
          <w:szCs w:val="32"/>
        </w:rPr>
        <w:t>第二部分 2021年部门决算表</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一、收入支出决算总表</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二、收入决算总表</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三、支出决算总表</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四、财政拨款收入支出决算总表</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五、一般公共预算财政拨款支出决算表</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六、一般公共预算财政拨款基本支出决算表</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七、一般公共预算财政拨款“三公”经费及会议费、培训费</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支出决算表</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八、政府性基金预算财政拨款收入支出决算表</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九、</w:t>
      </w:r>
      <w:r>
        <w:rPr>
          <w:rFonts w:hint="eastAsia" w:ascii="仿宋_GB2312" w:hAnsi="仿宋_GB2312" w:eastAsia="仿宋_GB2312" w:cs="仿宋_GB2312"/>
          <w:color w:val="000000"/>
          <w:kern w:val="0"/>
          <w:sz w:val="32"/>
          <w:szCs w:val="32"/>
        </w:rPr>
        <w:t>国有资本经营预算财政拨款支出决算表</w:t>
      </w:r>
    </w:p>
    <w:p>
      <w:pPr>
        <w:widowControl/>
        <w:spacing w:line="560" w:lineRule="exact"/>
        <w:jc w:val="center"/>
        <w:rPr>
          <w:rFonts w:ascii="方正小标宋简体" w:hAnsi="方正小标宋简体" w:eastAsia="方正小标宋简体" w:cs="方正小标宋简体"/>
          <w:bCs/>
          <w:kern w:val="0"/>
          <w:sz w:val="32"/>
          <w:szCs w:val="32"/>
        </w:rPr>
      </w:pPr>
      <w:r>
        <w:rPr>
          <w:rFonts w:hint="eastAsia" w:ascii="方正小标宋简体" w:hAnsi="方正小标宋简体" w:eastAsia="方正小标宋简体" w:cs="方正小标宋简体"/>
          <w:bCs/>
          <w:kern w:val="0"/>
          <w:sz w:val="32"/>
          <w:szCs w:val="32"/>
        </w:rPr>
        <w:t>第三部分 2021年部门决算情况说明</w:t>
      </w:r>
    </w:p>
    <w:p>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一、收入支出决算总体情况说明   </w:t>
      </w:r>
    </w:p>
    <w:p>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二、收入决算情况说明     </w:t>
      </w:r>
    </w:p>
    <w:p>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三、支出决算情况说明    </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四、财政拨款收入支出决算总体情况说明    </w:t>
      </w:r>
    </w:p>
    <w:p>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五、一般公共预算财政拨款支出决算情况说明 </w:t>
      </w:r>
    </w:p>
    <w:p>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六、一般公共预算财政拨款基本支出决算情况说明   </w:t>
      </w:r>
    </w:p>
    <w:p>
      <w:pPr>
        <w:widowControl/>
        <w:ind w:left="640" w:hanging="640" w:hanging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七、一般公共预算财政拨款“三公”经费及会议费、培训费支出决算情况说明  </w:t>
      </w:r>
    </w:p>
    <w:p>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八、政府性基金预算财政拨款收入支出情况说明 </w:t>
      </w:r>
    </w:p>
    <w:p>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九、国有资本经营财政拨款收入支出情况说明 </w:t>
      </w:r>
    </w:p>
    <w:p>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十、机关运行经费支出情况说明 </w:t>
      </w:r>
    </w:p>
    <w:p>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十一、政府采购支出情况说明 </w:t>
      </w:r>
    </w:p>
    <w:p>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十二、国有资产占用及购置情况说明 </w:t>
      </w:r>
    </w:p>
    <w:p>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十三、预算绩效情况说明 </w:t>
      </w:r>
    </w:p>
    <w:p>
      <w:pPr>
        <w:widowControl/>
        <w:spacing w:line="560" w:lineRule="exact"/>
        <w:jc w:val="center"/>
        <w:rPr>
          <w:rFonts w:ascii="方正小标宋简体" w:hAnsi="方正小标宋简体" w:eastAsia="方正小标宋简体" w:cs="方正小标宋简体"/>
          <w:bCs/>
          <w:kern w:val="0"/>
          <w:sz w:val="32"/>
          <w:szCs w:val="32"/>
        </w:rPr>
      </w:pPr>
      <w:r>
        <w:rPr>
          <w:rFonts w:hint="eastAsia" w:ascii="方正小标宋简体" w:hAnsi="方正小标宋简体" w:eastAsia="方正小标宋简体" w:cs="方正小标宋简体"/>
          <w:bCs/>
          <w:kern w:val="0"/>
          <w:sz w:val="32"/>
          <w:szCs w:val="32"/>
        </w:rPr>
        <w:t>第四部分 专业名词解释</w:t>
      </w:r>
    </w:p>
    <w:p>
      <w:pPr>
        <w:widowControl/>
        <w:spacing w:line="560" w:lineRule="exact"/>
        <w:jc w:val="left"/>
        <w:rPr>
          <w:rFonts w:ascii="方正小标宋简体" w:hAnsi="方正小标宋简体" w:eastAsia="方正小标宋简体" w:cs="方正小标宋简体"/>
          <w:kern w:val="0"/>
          <w:sz w:val="32"/>
          <w:szCs w:val="32"/>
        </w:rPr>
      </w:pPr>
    </w:p>
    <w:p>
      <w:pPr>
        <w:widowControl/>
        <w:spacing w:line="560" w:lineRule="exact"/>
        <w:jc w:val="center"/>
        <w:rPr>
          <w:rFonts w:ascii="方正小标宋简体" w:hAnsi="方正小标宋简体" w:eastAsia="方正小标宋简体" w:cs="方正小标宋简体"/>
          <w:bCs/>
          <w:kern w:val="0"/>
          <w:sz w:val="32"/>
          <w:szCs w:val="32"/>
        </w:rPr>
      </w:pPr>
      <w:r>
        <w:rPr>
          <w:rFonts w:hint="eastAsia" w:ascii="方正小标宋简体" w:hAnsi="方正小标宋简体" w:eastAsia="方正小标宋简体" w:cs="方正小标宋简体"/>
          <w:bCs/>
          <w:kern w:val="0"/>
          <w:sz w:val="32"/>
          <w:szCs w:val="32"/>
        </w:rPr>
        <w:t>第一部分 部门概况</w:t>
      </w:r>
    </w:p>
    <w:p>
      <w:pPr>
        <w:widowControl/>
        <w:ind w:firstLine="643" w:firstLineChars="200"/>
        <w:rPr>
          <w:rFonts w:ascii="黑体" w:hAnsi="黑体" w:eastAsia="黑体" w:cs="黑体"/>
          <w:b/>
          <w:kern w:val="0"/>
          <w:sz w:val="32"/>
          <w:szCs w:val="32"/>
        </w:rPr>
      </w:pPr>
      <w:r>
        <w:rPr>
          <w:rFonts w:hint="eastAsia" w:ascii="黑体" w:hAnsi="黑体" w:eastAsia="黑体" w:cs="黑体"/>
          <w:b/>
          <w:kern w:val="0"/>
          <w:sz w:val="32"/>
          <w:szCs w:val="32"/>
        </w:rPr>
        <w:t>一、部门主要职责及内设机构</w:t>
      </w:r>
    </w:p>
    <w:p>
      <w:pPr>
        <w:widowControl/>
        <w:ind w:firstLine="640" w:firstLineChars="200"/>
        <w:rPr>
          <w:rFonts w:ascii="黑体" w:hAnsi="黑体" w:eastAsia="黑体" w:cs="黑体"/>
          <w:kern w:val="0"/>
          <w:sz w:val="32"/>
          <w:szCs w:val="32"/>
        </w:rPr>
      </w:pPr>
      <w:r>
        <w:rPr>
          <w:rFonts w:ascii="黑体" w:hAnsi="黑体" w:eastAsia="黑体" w:cs="黑体"/>
          <w:kern w:val="0"/>
          <w:sz w:val="32"/>
          <w:szCs w:val="32"/>
        </w:rPr>
        <w:t>（一）主要职责</w:t>
      </w:r>
    </w:p>
    <w:p>
      <w:pPr>
        <w:spacing w:line="560" w:lineRule="exact"/>
        <w:ind w:firstLine="640" w:firstLineChars="200"/>
        <w:jc w:val="left"/>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依法查处森林和草原领域违法犯罪行为；承担森林和草原火灾扑救的现场警戒、交通疏导、治安维护、火灾侦破等工作；协助林业部门开展防火宣传、火灾隐患排查、重点区域巡护等工作。</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内设机构</w:t>
      </w:r>
    </w:p>
    <w:p>
      <w:pPr>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商洛市森林公安局为副处级单位，下设综合科、刑侦（治安）大队两个正科级科室，编制8名（均为政法专项编制），实有6人。</w:t>
      </w:r>
    </w:p>
    <w:bookmarkEnd w:id="0"/>
    <w:p>
      <w:pPr>
        <w:widowControl/>
        <w:numPr>
          <w:ilvl w:val="0"/>
          <w:numId w:val="1"/>
        </w:numPr>
        <w:ind w:firstLine="643" w:firstLineChars="200"/>
        <w:rPr>
          <w:rFonts w:ascii="黑体" w:hAnsi="黑体" w:eastAsia="黑体" w:cs="黑体"/>
          <w:b/>
          <w:kern w:val="0"/>
          <w:sz w:val="32"/>
          <w:szCs w:val="32"/>
        </w:rPr>
      </w:pPr>
      <w:r>
        <w:rPr>
          <w:rFonts w:ascii="黑体" w:hAnsi="黑体" w:eastAsia="黑体" w:cs="黑体"/>
          <w:b/>
          <w:kern w:val="0"/>
          <w:sz w:val="32"/>
          <w:szCs w:val="32"/>
        </w:rPr>
        <w:t>部门决算单位构成</w:t>
      </w:r>
    </w:p>
    <w:p>
      <w:pPr>
        <w:widowControl/>
        <w:ind w:firstLine="640" w:firstLineChars="200"/>
        <w:rPr>
          <w:rFonts w:ascii="黑体" w:hAnsi="黑体" w:eastAsia="仿宋_GB2312" w:cs="黑体"/>
          <w:b/>
          <w:kern w:val="0"/>
          <w:sz w:val="32"/>
          <w:szCs w:val="32"/>
        </w:rPr>
      </w:pPr>
      <w:r>
        <w:rPr>
          <w:rFonts w:hint="eastAsia" w:ascii="仿宋_GB2312" w:hAnsi="仿宋_GB2312" w:eastAsia="仿宋_GB2312" w:cs="仿宋_GB2312"/>
          <w:kern w:val="0"/>
          <w:sz w:val="32"/>
          <w:szCs w:val="32"/>
        </w:rPr>
        <w:t>纳入本部门2021年部门决算编制范围的单位共1个，包括本级及0个下属单位。</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6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Pr>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6616" w:type="dxa"/>
          </w:tcPr>
          <w:p>
            <w:pPr>
              <w:widowControl/>
              <w:ind w:firstLine="640" w:firstLineChars="200"/>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Pr>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6616" w:type="dxa"/>
          </w:tcPr>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商洛市森林公安局</w:t>
            </w:r>
          </w:p>
        </w:tc>
      </w:tr>
    </w:tbl>
    <w:p>
      <w:pPr>
        <w:spacing w:line="560" w:lineRule="exact"/>
        <w:ind w:firstLine="643" w:firstLineChars="200"/>
        <w:rPr>
          <w:rFonts w:ascii="黑体" w:hAnsi="黑体" w:eastAsia="黑体" w:cs="黑体"/>
          <w:b/>
          <w:kern w:val="0"/>
          <w:sz w:val="32"/>
          <w:szCs w:val="32"/>
        </w:rPr>
      </w:pPr>
      <w:r>
        <w:rPr>
          <w:rFonts w:ascii="黑体" w:hAnsi="黑体" w:eastAsia="黑体" w:cs="黑体"/>
          <w:b/>
          <w:kern w:val="0"/>
          <w:sz w:val="32"/>
          <w:szCs w:val="32"/>
        </w:rPr>
        <w:t>三、部门人员情况</w:t>
      </w:r>
    </w:p>
    <w:p>
      <w:pPr>
        <w:spacing w:line="560" w:lineRule="exact"/>
        <w:ind w:firstLine="640" w:firstLineChars="200"/>
        <w:rPr>
          <w:rFonts w:ascii="仿宋_GB2312" w:hAnsi="仿宋_GB2312" w:eastAsia="仿宋_GB2312" w:cs="仿宋_GB2312"/>
          <w:sz w:val="15"/>
          <w:szCs w:val="15"/>
        </w:rPr>
      </w:pPr>
      <w:r>
        <w:rPr>
          <w:rFonts w:hint="eastAsia" w:ascii="仿宋_GB2312" w:hAnsi="仿宋_GB2312" w:eastAsia="仿宋_GB2312" w:cs="仿宋_GB2312"/>
          <w:sz w:val="32"/>
          <w:szCs w:val="32"/>
        </w:rPr>
        <w:t>截止2021年底,本部门人员编制</w:t>
      </w:r>
      <w:r>
        <w:rPr>
          <w:rFonts w:hint="eastAsia" w:ascii="仿宋_GB2312" w:hAnsi="仿宋_GB2312" w:eastAsia="仿宋_GB2312" w:cs="仿宋_GB2312"/>
          <w:kern w:val="0"/>
          <w:sz w:val="32"/>
          <w:szCs w:val="32"/>
        </w:rPr>
        <w:t>8</w:t>
      </w:r>
      <w:r>
        <w:rPr>
          <w:rFonts w:hint="eastAsia" w:ascii="仿宋_GB2312" w:hAnsi="仿宋_GB2312" w:eastAsia="仿宋_GB2312" w:cs="仿宋_GB2312"/>
          <w:sz w:val="32"/>
          <w:szCs w:val="32"/>
        </w:rPr>
        <w:t>人,其中行政编制8人、事业编制0人;实有人员6人,其中行政6人、事业0人,单位管理的离退休人员6人。</w:t>
      </w:r>
    </w:p>
    <w:p>
      <w:pPr>
        <w:jc w:val="center"/>
      </w:pPr>
      <w:r>
        <w:drawing>
          <wp:inline distT="0" distB="0" distL="114300" distR="114300">
            <wp:extent cx="4596130" cy="2767330"/>
            <wp:effectExtent l="0" t="0" r="13970" b="139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a:stretch>
                      <a:fillRect/>
                    </a:stretch>
                  </pic:blipFill>
                  <pic:spPr>
                    <a:xfrm>
                      <a:off x="0" y="0"/>
                      <a:ext cx="4596130" cy="2767330"/>
                    </a:xfrm>
                    <a:prstGeom prst="rect">
                      <a:avLst/>
                    </a:prstGeom>
                    <a:noFill/>
                    <a:ln>
                      <a:noFill/>
                    </a:ln>
                  </pic:spPr>
                </pic:pic>
              </a:graphicData>
            </a:graphic>
          </wp:inline>
        </w:drawing>
      </w:r>
    </w:p>
    <w:p>
      <w:pPr>
        <w:numPr>
          <w:ilvl w:val="0"/>
          <w:numId w:val="2"/>
        </w:numPr>
        <w:spacing w:line="560" w:lineRule="exact"/>
        <w:jc w:val="center"/>
        <w:rPr>
          <w:rFonts w:ascii="方正小标宋简体" w:hAnsi="方正小标宋简体" w:eastAsia="方正小标宋简体" w:cs="方正小标宋简体"/>
          <w:bCs/>
          <w:kern w:val="0"/>
          <w:sz w:val="32"/>
          <w:szCs w:val="32"/>
        </w:rPr>
      </w:pPr>
      <w:r>
        <w:rPr>
          <w:rFonts w:hint="eastAsia" w:ascii="方正小标宋简体" w:hAnsi="方正小标宋简体" w:eastAsia="方正小标宋简体" w:cs="方正小标宋简体"/>
          <w:bCs/>
          <w:kern w:val="0"/>
          <w:sz w:val="32"/>
          <w:szCs w:val="32"/>
        </w:rPr>
        <w:t xml:space="preserve"> 2021 年度部门决算表</w:t>
      </w:r>
    </w:p>
    <w:p>
      <w:pPr>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（2021年度部门决算表公开内容详见附件）</w:t>
      </w:r>
    </w:p>
    <w:p>
      <w:pPr>
        <w:spacing w:line="560" w:lineRule="exact"/>
        <w:jc w:val="center"/>
        <w:rPr>
          <w:rFonts w:ascii="方正小标宋简体" w:hAnsi="方正小标宋简体" w:eastAsia="方正小标宋简体" w:cs="方正小标宋简体"/>
          <w:bCs/>
          <w:kern w:val="0"/>
          <w:sz w:val="32"/>
          <w:szCs w:val="32"/>
        </w:rPr>
      </w:pPr>
      <w:r>
        <w:rPr>
          <w:rFonts w:hint="eastAsia" w:ascii="方正小标宋简体" w:hAnsi="方正小标宋简体" w:eastAsia="方正小标宋简体" w:cs="方正小标宋简体"/>
          <w:bCs/>
          <w:kern w:val="0"/>
          <w:sz w:val="32"/>
          <w:szCs w:val="32"/>
        </w:rPr>
        <w:t xml:space="preserve">    第三部分  2021 年部门决算情况说明</w:t>
      </w:r>
    </w:p>
    <w:p>
      <w:pPr>
        <w:spacing w:line="560" w:lineRule="exact"/>
        <w:ind w:firstLine="640" w:firstLineChars="200"/>
        <w:rPr>
          <w:rFonts w:ascii="黑体" w:hAnsi="黑体" w:eastAsia="黑体" w:cs="黑体"/>
          <w:color w:val="FF0000"/>
          <w:kern w:val="0"/>
          <w:sz w:val="32"/>
          <w:szCs w:val="32"/>
        </w:rPr>
      </w:pPr>
      <w:r>
        <w:rPr>
          <w:rFonts w:hint="eastAsia" w:ascii="黑体" w:hAnsi="黑体" w:eastAsia="黑体" w:cs="黑体"/>
          <w:kern w:val="0"/>
          <w:sz w:val="32"/>
          <w:szCs w:val="32"/>
        </w:rPr>
        <w:t>一、收入支出决算总体情况说明</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2021年收入</w:t>
      </w:r>
      <w:r>
        <w:rPr>
          <w:rFonts w:ascii="仿宋_GB2312" w:hAnsi="仿宋_GB2312" w:eastAsia="仿宋_GB2312" w:cs="仿宋_GB2312"/>
          <w:sz w:val="32"/>
          <w:szCs w:val="32"/>
        </w:rPr>
        <w:t>总计</w:t>
      </w:r>
      <w:r>
        <w:rPr>
          <w:rFonts w:hint="eastAsia" w:ascii="仿宋_GB2312" w:hAnsi="仿宋_GB2312" w:eastAsia="仿宋_GB2312" w:cs="仿宋_GB2312"/>
          <w:sz w:val="32"/>
          <w:szCs w:val="32"/>
        </w:rPr>
        <w:t>282.99</w:t>
      </w:r>
      <w:r>
        <w:rPr>
          <w:rFonts w:ascii="仿宋_GB2312" w:hAnsi="仿宋_GB2312" w:eastAsia="仿宋_GB2312" w:cs="仿宋_GB2312"/>
          <w:sz w:val="32"/>
          <w:szCs w:val="32"/>
        </w:rPr>
        <w:t>万元，包括</w:t>
      </w:r>
      <w:r>
        <w:rPr>
          <w:rFonts w:hint="eastAsia" w:ascii="仿宋_GB2312" w:hAnsi="仿宋_GB2312" w:eastAsia="仿宋_GB2312" w:cs="仿宋_GB2312"/>
          <w:sz w:val="32"/>
          <w:szCs w:val="32"/>
        </w:rPr>
        <w:t>年初结转和结余42.69万元，本年收入合计240.31万元。本年收入总计较上年增加0.21万元，增加0.07%，主要原因是人员增资调整。</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2021年支出</w:t>
      </w:r>
      <w:r>
        <w:rPr>
          <w:rFonts w:ascii="仿宋_GB2312" w:hAnsi="仿宋_GB2312" w:eastAsia="仿宋_GB2312" w:cs="仿宋_GB2312"/>
          <w:sz w:val="32"/>
          <w:szCs w:val="32"/>
        </w:rPr>
        <w:t>总计</w:t>
      </w:r>
      <w:r>
        <w:rPr>
          <w:rFonts w:hint="eastAsia" w:ascii="仿宋_GB2312" w:hAnsi="仿宋_GB2312" w:eastAsia="仿宋_GB2312" w:cs="仿宋_GB2312"/>
          <w:sz w:val="32"/>
          <w:szCs w:val="32"/>
        </w:rPr>
        <w:t>282.99</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rPr>
        <w:t>其中本年支出268.72万元，年末结转资金14.27万元。本年支出总计较上年增加0.21万元，增加0.07%，主要原因是人员增资调整。</w:t>
      </w:r>
    </w:p>
    <w:p>
      <w:pPr>
        <w:ind w:firstLine="420" w:firstLineChars="200"/>
        <w:jc w:val="left"/>
        <w:rPr>
          <w:rFonts w:ascii="仿宋_GB2312" w:hAnsi="仿宋_GB2312" w:eastAsia="仿宋_GB2312" w:cs="仿宋_GB2312"/>
          <w:sz w:val="32"/>
          <w:szCs w:val="32"/>
        </w:rPr>
      </w:pPr>
      <w:r>
        <w:drawing>
          <wp:inline distT="0" distB="0" distL="114300" distR="114300">
            <wp:extent cx="4596130" cy="2767330"/>
            <wp:effectExtent l="0" t="0" r="13970" b="139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6"/>
                    <a:stretch>
                      <a:fillRect/>
                    </a:stretch>
                  </pic:blipFill>
                  <pic:spPr>
                    <a:xfrm>
                      <a:off x="0" y="0"/>
                      <a:ext cx="4596130" cy="2767330"/>
                    </a:xfrm>
                    <a:prstGeom prst="rect">
                      <a:avLst/>
                    </a:prstGeom>
                    <a:noFill/>
                    <a:ln>
                      <a:noFill/>
                    </a:ln>
                  </pic:spPr>
                </pic:pic>
              </a:graphicData>
            </a:graphic>
          </wp:inline>
        </w:drawing>
      </w:r>
    </w:p>
    <w:p>
      <w:pPr>
        <w:spacing w:line="560" w:lineRule="exact"/>
        <w:ind w:firstLine="640" w:firstLineChars="200"/>
        <w:jc w:val="left"/>
        <w:rPr>
          <w:rFonts w:ascii="黑体" w:hAnsi="黑体" w:eastAsia="黑体"/>
          <w:bCs/>
          <w:color w:val="000000"/>
          <w:kern w:val="0"/>
          <w:sz w:val="32"/>
          <w:szCs w:val="32"/>
        </w:rPr>
      </w:pPr>
      <w:r>
        <w:rPr>
          <w:rFonts w:hint="eastAsia" w:ascii="黑体" w:hAnsi="黑体" w:eastAsia="黑体"/>
          <w:bCs/>
          <w:color w:val="000000"/>
          <w:kern w:val="0"/>
          <w:sz w:val="32"/>
          <w:szCs w:val="32"/>
        </w:rPr>
        <w:t>二、收入决算情况说明</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2021年收</w:t>
      </w:r>
      <w:r>
        <w:rPr>
          <w:rFonts w:ascii="仿宋_GB2312" w:hAnsi="仿宋_GB2312" w:eastAsia="仿宋_GB2312" w:cs="仿宋_GB2312"/>
          <w:sz w:val="32"/>
          <w:szCs w:val="32"/>
        </w:rPr>
        <w:t>入总计</w:t>
      </w:r>
      <w:r>
        <w:rPr>
          <w:rFonts w:hint="eastAsia" w:ascii="仿宋_GB2312" w:hAnsi="仿宋_GB2312" w:eastAsia="仿宋_GB2312" w:cs="仿宋_GB2312"/>
          <w:sz w:val="32"/>
          <w:szCs w:val="32"/>
        </w:rPr>
        <w:t>240.31</w:t>
      </w:r>
      <w:r>
        <w:rPr>
          <w:rFonts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rPr>
        <w:t>其中：财政拨款收入230.31万元，占本年总收入的95.84 %；</w:t>
      </w:r>
      <w:r>
        <w:rPr>
          <w:rFonts w:hint="eastAsia" w:ascii="仿宋_GB2312" w:hAnsi="仿宋_GB2312" w:eastAsia="仿宋_GB2312" w:cs="仿宋_GB2312"/>
          <w:sz w:val="32"/>
          <w:szCs w:val="32"/>
        </w:rPr>
        <w:t>事业收入0万元，占0!%；经营收入0万元，占0%；其他收入10.00万元，占4.16 %。</w:t>
      </w:r>
    </w:p>
    <w:p>
      <w:pPr>
        <w:ind w:firstLine="420" w:firstLineChars="200"/>
        <w:rPr>
          <w:rFonts w:ascii="仿宋_GB2312" w:hAnsi="仿宋_GB2312" w:eastAsia="仿宋_GB2312" w:cs="仿宋_GB2312"/>
          <w:sz w:val="32"/>
          <w:szCs w:val="32"/>
        </w:rPr>
      </w:pPr>
      <w:r>
        <w:drawing>
          <wp:inline distT="0" distB="0" distL="114300" distR="114300">
            <wp:extent cx="4596130" cy="2767330"/>
            <wp:effectExtent l="0" t="0" r="13970" b="1397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7"/>
                    <a:stretch>
                      <a:fillRect/>
                    </a:stretch>
                  </pic:blipFill>
                  <pic:spPr>
                    <a:xfrm>
                      <a:off x="0" y="0"/>
                      <a:ext cx="4596130" cy="2767330"/>
                    </a:xfrm>
                    <a:prstGeom prst="rect">
                      <a:avLst/>
                    </a:prstGeom>
                    <a:noFill/>
                    <a:ln>
                      <a:noFill/>
                    </a:ln>
                  </pic:spPr>
                </pic:pic>
              </a:graphicData>
            </a:graphic>
          </wp:inline>
        </w:drawing>
      </w:r>
    </w:p>
    <w:p>
      <w:pPr>
        <w:spacing w:line="560" w:lineRule="exact"/>
        <w:ind w:firstLine="640" w:firstLineChars="200"/>
        <w:jc w:val="left"/>
        <w:rPr>
          <w:rFonts w:ascii="仿宋_GB2312" w:hAnsi="仿宋_GB2312" w:eastAsia="仿宋_GB2312" w:cs="仿宋_GB2312"/>
          <w:color w:val="FF0000"/>
          <w:sz w:val="32"/>
          <w:szCs w:val="32"/>
        </w:rPr>
      </w:pPr>
      <w:r>
        <w:rPr>
          <w:rFonts w:hint="eastAsia" w:ascii="黑体" w:hAnsi="黑体" w:eastAsia="黑体"/>
          <w:bCs/>
          <w:color w:val="000000"/>
          <w:kern w:val="0"/>
          <w:sz w:val="32"/>
          <w:szCs w:val="32"/>
        </w:rPr>
        <w:t xml:space="preserve">三、支出决算情况说明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2021年支出合计268.72万元，其中：基本支出133.64万元，占本年总支出的49.73%；项目支出135.07万元，占本年总支出的50.26%；经营支出0万元，占本年总支出的0%。</w:t>
      </w:r>
    </w:p>
    <w:p>
      <w:pPr>
        <w:ind w:firstLine="420" w:firstLineChars="200"/>
        <w:rPr>
          <w:rFonts w:ascii="仿宋_GB2312" w:hAnsi="仿宋_GB2312" w:eastAsia="仿宋_GB2312" w:cs="仿宋_GB2312"/>
          <w:sz w:val="32"/>
          <w:szCs w:val="32"/>
        </w:rPr>
      </w:pPr>
      <w:r>
        <w:drawing>
          <wp:inline distT="0" distB="0" distL="114300" distR="114300">
            <wp:extent cx="4596130" cy="2767330"/>
            <wp:effectExtent l="0" t="0" r="13970" b="1397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8"/>
                    <a:stretch>
                      <a:fillRect/>
                    </a:stretch>
                  </pic:blipFill>
                  <pic:spPr>
                    <a:xfrm>
                      <a:off x="0" y="0"/>
                      <a:ext cx="4596130" cy="2767330"/>
                    </a:xfrm>
                    <a:prstGeom prst="rect">
                      <a:avLst/>
                    </a:prstGeom>
                    <a:noFill/>
                    <a:ln>
                      <a:noFill/>
                    </a:ln>
                  </pic:spPr>
                </pic:pic>
              </a:graphicData>
            </a:graphic>
          </wp:inline>
        </w:drawing>
      </w:r>
    </w:p>
    <w:p>
      <w:pPr>
        <w:spacing w:line="560" w:lineRule="exact"/>
        <w:ind w:firstLine="640" w:firstLineChars="200"/>
        <w:jc w:val="left"/>
        <w:rPr>
          <w:rFonts w:ascii="黑体" w:hAnsi="黑体" w:eastAsia="黑体"/>
          <w:b/>
          <w:color w:val="FF0000"/>
          <w:kern w:val="0"/>
          <w:sz w:val="32"/>
          <w:szCs w:val="32"/>
          <w:highlight w:val="lightGray"/>
        </w:rPr>
      </w:pPr>
      <w:r>
        <w:rPr>
          <w:rFonts w:hint="eastAsia" w:ascii="黑体" w:hAnsi="黑体" w:eastAsia="黑体"/>
          <w:bCs/>
          <w:color w:val="000000"/>
          <w:kern w:val="0"/>
          <w:sz w:val="32"/>
          <w:szCs w:val="32"/>
        </w:rPr>
        <w:t>四、财政拨款收入支出决算总体情况说明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2021年财政拨款收</w:t>
      </w:r>
      <w:r>
        <w:rPr>
          <w:rFonts w:ascii="仿宋_GB2312" w:hAnsi="仿宋_GB2312" w:eastAsia="仿宋_GB2312" w:cs="仿宋_GB2312"/>
          <w:sz w:val="32"/>
          <w:szCs w:val="32"/>
        </w:rPr>
        <w:t>入总计</w:t>
      </w:r>
      <w:r>
        <w:rPr>
          <w:rFonts w:hint="eastAsia" w:ascii="仿宋_GB2312" w:hAnsi="仿宋_GB2312" w:eastAsia="仿宋_GB2312" w:cs="仿宋_GB2312"/>
          <w:sz w:val="32"/>
          <w:szCs w:val="32"/>
        </w:rPr>
        <w:t>264.48</w:t>
      </w:r>
      <w:r>
        <w:rPr>
          <w:rFonts w:ascii="仿宋_GB2312" w:hAnsi="仿宋_GB2312" w:eastAsia="仿宋_GB2312" w:cs="仿宋_GB2312"/>
          <w:sz w:val="32"/>
          <w:szCs w:val="32"/>
        </w:rPr>
        <w:t>万元，包括本年</w:t>
      </w:r>
      <w:r>
        <w:rPr>
          <w:rFonts w:hint="eastAsia" w:ascii="仿宋_GB2312" w:hAnsi="仿宋_GB2312" w:eastAsia="仿宋_GB2312" w:cs="仿宋_GB2312"/>
          <w:sz w:val="32"/>
          <w:szCs w:val="32"/>
        </w:rPr>
        <w:t>一般公共预算财政拨款230.31万元，政府性基金预算财政拨款0万元，年初财政拨款结转和结余34.17万元。2021年财政拨款收入总计较上年增加24.91 万元，增加10.40 %，主要原因是人员增资调整。</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2021年财政拨款支出</w:t>
      </w:r>
      <w:r>
        <w:rPr>
          <w:rFonts w:ascii="仿宋_GB2312" w:hAnsi="仿宋_GB2312" w:eastAsia="仿宋_GB2312" w:cs="仿宋_GB2312"/>
          <w:sz w:val="32"/>
          <w:szCs w:val="32"/>
        </w:rPr>
        <w:t>总计</w:t>
      </w:r>
      <w:r>
        <w:rPr>
          <w:rFonts w:hint="eastAsia" w:ascii="仿宋_GB2312" w:hAnsi="仿宋_GB2312" w:eastAsia="仿宋_GB2312" w:cs="仿宋_GB2312"/>
          <w:sz w:val="32"/>
          <w:szCs w:val="32"/>
        </w:rPr>
        <w:t>264.48</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rPr>
        <w:t>其中：公共安全支出117.50万元,社会保障和就业支出11.47万元，卫生健康支出5.25万元,农林水支出124.24万元，住房保障支出6.02万元。2021年财政拨款支出总计较上年增加24.91 万元，增加10.40 %，主要原因是项目增加、人员增资。</w:t>
      </w:r>
    </w:p>
    <w:p>
      <w:pPr>
        <w:ind w:firstLine="420" w:firstLineChars="200"/>
        <w:jc w:val="left"/>
        <w:rPr>
          <w:rFonts w:ascii="仿宋_GB2312" w:hAnsi="仿宋_GB2312" w:cs="仿宋_GB2312"/>
          <w:sz w:val="32"/>
          <w:szCs w:val="32"/>
          <w:highlight w:val="yellow"/>
        </w:rPr>
      </w:pPr>
      <w:r>
        <w:drawing>
          <wp:inline distT="0" distB="0" distL="114300" distR="114300">
            <wp:extent cx="4596130" cy="2767330"/>
            <wp:effectExtent l="0" t="0" r="13970" b="1397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9"/>
                    <a:stretch>
                      <a:fillRect/>
                    </a:stretch>
                  </pic:blipFill>
                  <pic:spPr>
                    <a:xfrm>
                      <a:off x="0" y="0"/>
                      <a:ext cx="4596130" cy="2767330"/>
                    </a:xfrm>
                    <a:prstGeom prst="rect">
                      <a:avLst/>
                    </a:prstGeom>
                    <a:noFill/>
                    <a:ln>
                      <a:noFill/>
                    </a:ln>
                  </pic:spPr>
                </pic:pic>
              </a:graphicData>
            </a:graphic>
          </wp:inline>
        </w:drawing>
      </w:r>
    </w:p>
    <w:p>
      <w:pPr>
        <w:spacing w:line="560" w:lineRule="exact"/>
        <w:ind w:firstLine="640" w:firstLineChars="200"/>
        <w:jc w:val="left"/>
        <w:rPr>
          <w:rFonts w:ascii="黑体" w:hAnsi="黑体" w:eastAsia="黑体"/>
          <w:bCs/>
          <w:color w:val="000000"/>
          <w:kern w:val="0"/>
          <w:sz w:val="32"/>
          <w:szCs w:val="32"/>
        </w:rPr>
      </w:pPr>
      <w:r>
        <w:rPr>
          <w:rFonts w:hint="eastAsia" w:ascii="黑体" w:hAnsi="黑体" w:eastAsia="黑体"/>
          <w:bCs/>
          <w:color w:val="000000"/>
          <w:kern w:val="0"/>
          <w:sz w:val="32"/>
          <w:szCs w:val="32"/>
        </w:rPr>
        <w:t>五、一般公共预算财政拨款支出决算情况说明</w:t>
      </w:r>
    </w:p>
    <w:p>
      <w:pPr>
        <w:spacing w:line="560" w:lineRule="exact"/>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w:t>
      </w:r>
      <w:r>
        <w:rPr>
          <w:rFonts w:hint="eastAsia" w:ascii="楷体_GB2312" w:hAnsi="宋体" w:eastAsia="楷体_GB2312" w:cs="楷体_GB2312"/>
          <w:b/>
          <w:color w:val="000000"/>
          <w:kern w:val="0"/>
          <w:sz w:val="32"/>
          <w:szCs w:val="32"/>
        </w:rPr>
        <w:t>一般公共预算</w:t>
      </w:r>
      <w:r>
        <w:rPr>
          <w:rFonts w:ascii="楷体_GB2312" w:hAnsi="宋体" w:eastAsia="楷体_GB2312" w:cs="楷体_GB2312"/>
          <w:b/>
          <w:color w:val="000000"/>
          <w:kern w:val="0"/>
          <w:sz w:val="32"/>
          <w:szCs w:val="32"/>
        </w:rPr>
        <w:t>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2021年一般公共预算财政拨款支出264.48万元，占本年支出合计的98.42 %。与上年相比，财政拨款支出增加59.08 万元，增长28.76 %，主要原因是项目增加、人员增资。</w:t>
      </w:r>
    </w:p>
    <w:p>
      <w:pPr>
        <w:ind w:firstLine="420" w:firstLineChars="200"/>
        <w:jc w:val="left"/>
        <w:rPr>
          <w:rFonts w:ascii="仿宋_GB2312" w:hAnsi="仿宋_GB2312" w:eastAsia="仿宋_GB2312" w:cs="仿宋_GB2312"/>
          <w:sz w:val="32"/>
          <w:szCs w:val="32"/>
        </w:rPr>
      </w:pPr>
      <w:r>
        <w:drawing>
          <wp:inline distT="0" distB="0" distL="114300" distR="114300">
            <wp:extent cx="5151120" cy="3359150"/>
            <wp:effectExtent l="0" t="0" r="11430" b="1270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5151120" cy="3359150"/>
                    </a:xfrm>
                    <a:prstGeom prst="rect">
                      <a:avLst/>
                    </a:prstGeom>
                    <a:noFill/>
                    <a:ln>
                      <a:noFill/>
                    </a:ln>
                  </pic:spPr>
                </pic:pic>
              </a:graphicData>
            </a:graphic>
          </wp:inline>
        </w:drawing>
      </w:r>
    </w:p>
    <w:p>
      <w:pPr>
        <w:spacing w:line="56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（二）一般公共预算</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2021年一般公共预算财政拨款支出预算为264.48万元，支出决算为264.48万元，完成预算的100%。按照政府功能分类科目，其中：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1.社会保障和就业支出（类）行政事业单位养老支出（款）机关事业单位基本养老保险缴费支出（项）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预算为7.6万元，支出决算为7.6万元，完成预算的100%。决算与预算数持平，主要原因是我单位严格按照预算支出。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2.社会保障和就业支出（类）行政事业单位养老支出（款）机关事业单位职业年金缴费支出（项）。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预算为3.87万元，支出决算为3.87万元，完成预算的100%。决算与预算数持平，主要原因是我单位严格按照预算支出。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3.卫生健康支出（类）行政事业单位医疗（款）行政单位医疗（项）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预算为5.25万元，支出决算为5.25万元，完成预算的100%。决算与预算数持平，主要原因是我单位严格按照预算支出。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4.住房保障支出（类）住房改革支出（款）住房公积金（项）。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预算为6.02万元，支出决算为6.02万元，完成预算的100%。决算与预算数持平，主要原因是我单位严格按照预算支出。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5.公共安全支出（类）公安（款）信息化建设（项）。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预算为23.3万元，支出决算为23.3万元，完成预算的100%。决算与预算数持平，主要原因是我单位严格按照预算支出。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6.公共安全支出（类）公安（款）执法办案（项）。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预算为94.2万元，支出决算为94.2万元，完成预算的100%。决算与预算数持平，主要原因是我单位严格按照预算支出。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7.农林水支出（类）林业和草原（款）行政运行（项）。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预算为104.46万元，支出决算为104.46万元，完成预算的100%。决算与预算数持平，主要原因是我单位严格按照预算支出。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8.农林水支出（类）林业和草原（款）事业机构（项）。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预算为6.44万元，支出决算为6.44万元，完成预算的100%。决算与预算数持平，主要原因是我单位严格按照预算支出。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9.农林水支出（类）林业和草原（款）森林资源培育（项）。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预算为8.54万元，支出决算为8.54万元，完成预算的100%。决算与预算数持平，主要原因是我单位严格按照预算支出。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10.农林水支出（类）林业和草原（款）执法与监督（项）。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预算为4.8万元，支出决算为4.8万元，完成预算的100%。决算与预算数持平，主要原因是我单位严格按照预算支出。</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color w:val="000000"/>
          <w:kern w:val="0"/>
          <w:sz w:val="32"/>
          <w:szCs w:val="32"/>
        </w:rPr>
        <w:t xml:space="preserve">六、一般公共预算财政拨款基本支出决算情况说明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2021年一般公共预算财政拨款基本支出133.64万元，包括：人员经费支出99.66万元，公用经费支出33.99万元。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员经费99.66万元，主要包括基本工资29.78万元，津贴补贴23.11万元，机关事业单位基本养老保险缴费8.83万元，职业年金缴费3.93万元，职工基本医疗保险缴费保障缴费5.48万元，其他社会保障缴费0.09万元，住房公积金8.73万元，医疗费3.44万元,其他工资福利支出6.25万元，奖励金9.20万元，其他对个人和家庭的补助0.81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用经费支出33.99万元，主要包括办公费3.02万元，手续费0.02万元,电费1.15万元，邮电费0.59万元，取暖费0.55万元,差旅费2.01万元，维修(护)费3.28万元，租赁费万元,会议费3.00万元，劳务费5.78万元,委托业务费0.12万元,工会经费3.05万元，福利费0.02万元，公务用车运行维护费6.09万元，其他交通费用4.17万元，其他商品和服务支出1.15万元。</w:t>
      </w:r>
    </w:p>
    <w:p>
      <w:pPr>
        <w:spacing w:line="560" w:lineRule="exact"/>
        <w:ind w:firstLine="640" w:firstLineChars="200"/>
        <w:rPr>
          <w:rFonts w:ascii="黑体" w:hAnsi="黑体" w:eastAsia="黑体"/>
          <w:bCs/>
          <w:color w:val="000000"/>
          <w:kern w:val="0"/>
          <w:sz w:val="32"/>
          <w:szCs w:val="32"/>
        </w:rPr>
      </w:pPr>
      <w:r>
        <w:rPr>
          <w:rFonts w:hint="eastAsia" w:ascii="黑体" w:hAnsi="黑体" w:eastAsia="黑体"/>
          <w:bCs/>
          <w:color w:val="000000"/>
          <w:kern w:val="0"/>
          <w:sz w:val="32"/>
          <w:szCs w:val="32"/>
        </w:rPr>
        <w:t>七、一般公共预算财政拨款“三公”经费及会议费、培训费支出决算情况说明</w:t>
      </w:r>
    </w:p>
    <w:p>
      <w:pPr>
        <w:spacing w:line="560" w:lineRule="exact"/>
        <w:ind w:firstLine="643" w:firstLineChars="200"/>
        <w:jc w:val="left"/>
        <w:rPr>
          <w:rFonts w:ascii="仿宋_GB2312" w:hAnsi="仿宋_GB2312" w:eastAsia="仿宋_GB2312" w:cs="仿宋_GB2312"/>
          <w:sz w:val="32"/>
          <w:szCs w:val="32"/>
        </w:rPr>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2021年“三公”经费财政拨款支出预算为6.14万元，支出决算为6.14万元，完成预算的100%。决算数与预算数持平，主要原因是本单位严格按照预算支出。</w:t>
      </w:r>
    </w:p>
    <w:p>
      <w:pPr>
        <w:spacing w:line="56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三公”经费财政拨款支出决算中，因公出国（境）费支出决算0万元，占0%；公务用车购置费支出决算为0万元，占0%；公务用车运行维护费支出决算6.14万元，占100%；公务接待费支出决算0万元，占0%。具体情况如下：</w:t>
      </w:r>
    </w:p>
    <w:p>
      <w:pPr>
        <w:ind w:firstLine="420" w:firstLineChars="200"/>
        <w:rPr>
          <w:rFonts w:ascii="仿宋_GB2312" w:hAnsi="仿宋_GB2312" w:eastAsia="仿宋_GB2312" w:cs="仿宋_GB2312"/>
          <w:sz w:val="32"/>
          <w:szCs w:val="32"/>
        </w:rPr>
      </w:pPr>
      <w:r>
        <w:drawing>
          <wp:inline distT="0" distB="0" distL="114300" distR="114300">
            <wp:extent cx="4596130" cy="2767330"/>
            <wp:effectExtent l="0" t="0" r="13970"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4596130" cy="2767330"/>
                    </a:xfrm>
                    <a:prstGeom prst="rect">
                      <a:avLst/>
                    </a:prstGeom>
                    <a:noFill/>
                    <a:ln>
                      <a:noFill/>
                    </a:ln>
                  </pic:spPr>
                </pic:pic>
              </a:graphicData>
            </a:graphic>
          </wp:inline>
        </w:drawing>
      </w:r>
    </w:p>
    <w:p>
      <w:pPr>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2021年因公出国（境）团组0个，0人次，预算为0万元，支出决算为0万元，完成预算的0%，决算数较与算数持平，主要原因是本单位无此项支出。</w:t>
      </w:r>
    </w:p>
    <w:p>
      <w:pPr>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2021年购置车辆0台，预算为0万元，支出决算为0万元，完成预算的0%，决算数较与算数持平，主要原因是本单位无此项支出。</w:t>
      </w:r>
    </w:p>
    <w:p>
      <w:pPr>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2021年公务用车运行维护费预算为6.14万元，支出决算为6.14万元，完成预算的100%，决算数与预算数持平，主要原因是本单位严格按照预算支出。</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2021年公务接待0批次，0人次，预算为0万元，支出决算为0万元，完成预算的0%，决算数较与算数持平，主要原因是本单位无此项支出。</w:t>
      </w:r>
    </w:p>
    <w:p>
      <w:pPr>
        <w:spacing w:line="56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2021年培训费预算为0万元，支出决算为0万元，完成预算的0%，决算数较与算数持平，主要原因是本单位无此项支出。</w:t>
      </w:r>
    </w:p>
    <w:p>
      <w:pPr>
        <w:spacing w:line="56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2021年会议费</w:t>
      </w:r>
      <w:r>
        <w:rPr>
          <w:rFonts w:hint="eastAsia" w:ascii="仿宋_GB2312" w:hAnsi="仿宋_GB2312" w:eastAsia="仿宋_GB2312" w:cs="仿宋_GB2312"/>
          <w:color w:val="000000"/>
          <w:kern w:val="0"/>
          <w:sz w:val="32"/>
          <w:szCs w:val="32"/>
        </w:rPr>
        <w:t>预算为3万元，支出决算为3.00万元，完成预算的100%，</w:t>
      </w:r>
      <w:r>
        <w:rPr>
          <w:rFonts w:hint="eastAsia" w:ascii="仿宋_GB2312" w:hAnsi="仿宋_GB2312" w:eastAsia="仿宋_GB2312" w:cs="仿宋_GB2312"/>
          <w:sz w:val="32"/>
          <w:szCs w:val="32"/>
        </w:rPr>
        <w:t>决算数与预算数持平，主要原因是本单位严格按照预算支出</w:t>
      </w:r>
      <w:r>
        <w:rPr>
          <w:rFonts w:hint="eastAsia" w:ascii="仿宋_GB2312" w:hAnsi="仿宋_GB2312" w:eastAsia="仿宋_GB2312" w:cs="仿宋_GB2312"/>
          <w:color w:val="000000"/>
          <w:kern w:val="0"/>
          <w:sz w:val="32"/>
          <w:szCs w:val="32"/>
        </w:rPr>
        <w:t>。</w:t>
      </w:r>
    </w:p>
    <w:p>
      <w:pPr>
        <w:spacing w:line="560" w:lineRule="exact"/>
        <w:ind w:firstLine="640" w:firstLineChars="200"/>
        <w:rPr>
          <w:rFonts w:ascii="黑体" w:hAnsi="黑体" w:eastAsia="黑体"/>
          <w:bCs/>
          <w:color w:val="000000"/>
          <w:kern w:val="0"/>
          <w:sz w:val="32"/>
          <w:szCs w:val="32"/>
        </w:rPr>
      </w:pPr>
      <w:r>
        <w:rPr>
          <w:rFonts w:hint="eastAsia" w:ascii="黑体" w:hAnsi="黑体" w:eastAsia="黑体"/>
          <w:bCs/>
          <w:color w:val="000000"/>
          <w:kern w:val="0"/>
          <w:sz w:val="32"/>
          <w:szCs w:val="32"/>
        </w:rPr>
        <w:t xml:space="preserve">八、政府性基金预算财政拨款收入支出情况说明 </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九、国有资本经营财政拨款支出情况说明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本部门无国有资本经营决算拨款收支，并已公开空表。</w:t>
      </w:r>
    </w:p>
    <w:p>
      <w:pPr>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十、机关运行经费支出情况说明。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2021年机关运行经费预算为33.99万元，支出决算为33.99万元，完成预算的100%。决算数与预算数持平，主要原因是本单位严格按照预算支出。</w:t>
      </w:r>
    </w:p>
    <w:p>
      <w:pPr>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十一、政府采购支出情况说明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2021年本部门政府采购支出总额共0万元，其中政府采购货物类支出0万元、政府采购服务类支出0万元、政府采购工程类支出0万元。授予中小企业合同金额0万元，占政府采购支出总额的0%，其中：授予小微企业合同金额0万元，占政府采购支出总额的0%。</w:t>
      </w:r>
    </w:p>
    <w:p>
      <w:pPr>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十二、国有资产占用及购置情况说明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2021年末，本部门机关及所属单位共有车辆0辆，其中副厅级以上领导用车0辆，主要领导干部用车0辆，机要通信用车0辆，应急保障用车0辆，执法执勤用车0辆，特种专业技术用车0辆，离退休干部用车0辆，其他用车0辆。单价20万元以上的通用设备0台（套）；单价50万元以上的专用设备0台（套）。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年当年购置车辆0辆；购置单价20万元以上的通用设备0台（套）；购置单价50万元以上的专用设备0台（套）。</w:t>
      </w:r>
    </w:p>
    <w:p>
      <w:pPr>
        <w:numPr>
          <w:ilvl w:val="0"/>
          <w:numId w:val="3"/>
        </w:numPr>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预算绩效情况说明</w:t>
      </w:r>
    </w:p>
    <w:p>
      <w:pPr>
        <w:spacing w:line="560" w:lineRule="exact"/>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本部门</w:t>
      </w:r>
      <w:r>
        <w:rPr>
          <w:rFonts w:hint="eastAsia" w:ascii="黑体" w:hAnsi="黑体" w:eastAsia="黑体"/>
          <w:color w:val="000000"/>
          <w:kern w:val="0"/>
          <w:sz w:val="32"/>
          <w:szCs w:val="32"/>
        </w:rPr>
        <w:t>2021</w:t>
      </w:r>
      <w:r>
        <w:rPr>
          <w:rFonts w:hint="eastAsia" w:ascii="仿宋_GB2312" w:hAnsi="仿宋_GB2312" w:eastAsia="仿宋_GB2312" w:cs="仿宋_GB2312"/>
          <w:kern w:val="0"/>
          <w:sz w:val="32"/>
          <w:szCs w:val="32"/>
        </w:rPr>
        <w:t>年未开展绩效管理工作，计划在下年度探索开展绩效管理工作。</w:t>
      </w:r>
    </w:p>
    <w:p>
      <w:pPr>
        <w:spacing w:line="560" w:lineRule="exact"/>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（二）部门决算中项目绩效自评结果</w:t>
      </w:r>
      <w:r>
        <w:rPr>
          <w:rFonts w:ascii="楷体_GB2312" w:hAnsi="宋体" w:eastAsia="楷体_GB2312" w:cs="楷体_GB2312"/>
          <w:b/>
          <w:color w:val="000000"/>
          <w:kern w:val="0"/>
          <w:sz w:val="32"/>
          <w:szCs w:val="32"/>
        </w:rPr>
        <w:t>。</w:t>
      </w:r>
    </w:p>
    <w:p>
      <w:pPr>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本部门</w:t>
      </w:r>
      <w:r>
        <w:rPr>
          <w:rFonts w:hint="eastAsia" w:ascii="黑体" w:hAnsi="黑体" w:eastAsia="黑体"/>
          <w:color w:val="000000"/>
          <w:kern w:val="0"/>
          <w:sz w:val="32"/>
          <w:szCs w:val="32"/>
        </w:rPr>
        <w:t>2021</w:t>
      </w:r>
      <w:r>
        <w:rPr>
          <w:rFonts w:hint="eastAsia" w:ascii="仿宋_GB2312" w:hAnsi="仿宋_GB2312" w:eastAsia="仿宋_GB2312" w:cs="仿宋_GB2312"/>
          <w:kern w:val="0"/>
          <w:sz w:val="32"/>
          <w:szCs w:val="32"/>
        </w:rPr>
        <w:t>年未开展绩效管理工作，计划在以后年度开展绩效管理工作。</w:t>
      </w:r>
    </w:p>
    <w:p>
      <w:pPr>
        <w:spacing w:line="560" w:lineRule="exact"/>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（三）部门整体支出绩效自评结果</w:t>
      </w:r>
      <w:r>
        <w:rPr>
          <w:rFonts w:ascii="楷体_GB2312" w:hAnsi="宋体" w:eastAsia="楷体_GB2312" w:cs="楷体_GB2312"/>
          <w:b/>
          <w:color w:val="000000"/>
          <w:kern w:val="0"/>
          <w:sz w:val="32"/>
          <w:szCs w:val="32"/>
        </w:rPr>
        <w:t>。</w:t>
      </w:r>
    </w:p>
    <w:p>
      <w:pPr>
        <w:spacing w:line="560" w:lineRule="exact"/>
        <w:ind w:firstLine="320" w:firstLineChars="100"/>
        <w:jc w:val="left"/>
        <w:rPr>
          <w:rFonts w:ascii="楷体_GB2312" w:hAnsi="宋体" w:eastAsia="楷体_GB2312" w:cs="楷体_GB2312"/>
          <w:b/>
          <w:color w:val="000000"/>
          <w:kern w:val="0"/>
          <w:sz w:val="32"/>
          <w:szCs w:val="32"/>
        </w:rPr>
      </w:pPr>
      <w:r>
        <w:rPr>
          <w:rFonts w:hint="eastAsia" w:ascii="仿宋_GB2312" w:hAnsi="仿宋_GB2312" w:eastAsia="仿宋_GB2312" w:cs="仿宋_GB2312"/>
          <w:kern w:val="0"/>
          <w:sz w:val="32"/>
          <w:szCs w:val="32"/>
        </w:rPr>
        <w:t>本部门</w:t>
      </w:r>
      <w:r>
        <w:rPr>
          <w:rFonts w:hint="eastAsia" w:ascii="黑体" w:hAnsi="黑体" w:eastAsia="黑体"/>
          <w:color w:val="000000"/>
          <w:kern w:val="0"/>
          <w:sz w:val="32"/>
          <w:szCs w:val="32"/>
        </w:rPr>
        <w:t>2021</w:t>
      </w:r>
      <w:r>
        <w:rPr>
          <w:rFonts w:hint="eastAsia" w:ascii="仿宋_GB2312" w:hAnsi="仿宋_GB2312" w:eastAsia="仿宋_GB2312" w:cs="仿宋_GB2312"/>
          <w:kern w:val="0"/>
          <w:sz w:val="32"/>
          <w:szCs w:val="32"/>
        </w:rPr>
        <w:t>年未开展绩效管理工作，计划在以后年度开展绩效管理工作。</w:t>
      </w:r>
    </w:p>
    <w:p>
      <w:pPr>
        <w:spacing w:line="560" w:lineRule="exact"/>
        <w:jc w:val="left"/>
        <w:rPr>
          <w:rFonts w:ascii="楷体_GB2312" w:hAnsi="宋体" w:eastAsia="楷体_GB2312" w:cs="楷体_GB2312"/>
          <w:b/>
          <w:color w:val="000000"/>
          <w:kern w:val="0"/>
          <w:sz w:val="32"/>
          <w:szCs w:val="32"/>
        </w:rPr>
      </w:pPr>
    </w:p>
    <w:p>
      <w:pPr>
        <w:spacing w:line="560" w:lineRule="exact"/>
        <w:jc w:val="left"/>
        <w:rPr>
          <w:rFonts w:ascii="楷体_GB2312" w:hAnsi="宋体" w:eastAsia="楷体_GB2312" w:cs="楷体_GB2312"/>
          <w:b/>
          <w:color w:val="000000"/>
          <w:kern w:val="0"/>
          <w:sz w:val="32"/>
          <w:szCs w:val="32"/>
        </w:rPr>
      </w:pPr>
    </w:p>
    <w:tbl>
      <w:tblPr>
        <w:tblStyle w:val="6"/>
        <w:tblW w:w="0" w:type="auto"/>
        <w:tblInd w:w="0" w:type="dxa"/>
        <w:tblLayout w:type="fixed"/>
        <w:tblCellMar>
          <w:top w:w="0" w:type="dxa"/>
          <w:left w:w="0" w:type="dxa"/>
          <w:bottom w:w="0" w:type="dxa"/>
          <w:right w:w="0" w:type="dxa"/>
        </w:tblCellMar>
      </w:tblPr>
      <w:tblGrid>
        <w:gridCol w:w="299"/>
        <w:gridCol w:w="226"/>
        <w:gridCol w:w="166"/>
        <w:gridCol w:w="459"/>
        <w:gridCol w:w="289"/>
        <w:gridCol w:w="894"/>
        <w:gridCol w:w="1245"/>
        <w:gridCol w:w="632"/>
        <w:gridCol w:w="1225"/>
        <w:gridCol w:w="51"/>
        <w:gridCol w:w="621"/>
        <w:gridCol w:w="347"/>
        <w:gridCol w:w="282"/>
        <w:gridCol w:w="86"/>
        <w:gridCol w:w="346"/>
        <w:gridCol w:w="380"/>
        <w:gridCol w:w="252"/>
        <w:gridCol w:w="218"/>
        <w:gridCol w:w="664"/>
        <w:gridCol w:w="158"/>
      </w:tblGrid>
      <w:tr>
        <w:tblPrEx>
          <w:tblCellMar>
            <w:top w:w="0" w:type="dxa"/>
            <w:left w:w="0" w:type="dxa"/>
            <w:bottom w:w="0" w:type="dxa"/>
            <w:right w:w="0" w:type="dxa"/>
          </w:tblCellMar>
        </w:tblPrEx>
        <w:trPr>
          <w:trHeight w:val="90" w:hRule="atLeast"/>
        </w:trPr>
        <w:tc>
          <w:tcPr>
            <w:tcW w:w="8840" w:type="dxa"/>
            <w:gridSpan w:val="20"/>
            <w:tcBorders>
              <w:top w:val="nil"/>
              <w:left w:val="nil"/>
              <w:bottom w:val="nil"/>
              <w:right w:val="nil"/>
            </w:tcBorders>
            <w:tcMar>
              <w:top w:w="12" w:type="dxa"/>
              <w:left w:w="12" w:type="dxa"/>
              <w:right w:w="12" w:type="dxa"/>
            </w:tcMar>
            <w:vAlign w:val="center"/>
          </w:tcPr>
          <w:p>
            <w:pPr>
              <w:widowControl/>
              <w:spacing w:line="580" w:lineRule="exact"/>
              <w:jc w:val="center"/>
              <w:textAlignment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44"/>
                <w:szCs w:val="44"/>
              </w:rPr>
              <w:t>市级预算（项目）绩效目标自评表</w:t>
            </w:r>
          </w:p>
        </w:tc>
      </w:tr>
      <w:tr>
        <w:tblPrEx>
          <w:tblCellMar>
            <w:top w:w="0" w:type="dxa"/>
            <w:left w:w="0" w:type="dxa"/>
            <w:bottom w:w="0" w:type="dxa"/>
            <w:right w:w="0" w:type="dxa"/>
          </w:tblCellMar>
        </w:tblPrEx>
        <w:trPr>
          <w:trHeight w:val="90" w:hRule="atLeast"/>
        </w:trPr>
        <w:tc>
          <w:tcPr>
            <w:tcW w:w="8840" w:type="dxa"/>
            <w:gridSpan w:val="20"/>
            <w:tcBorders>
              <w:top w:val="nil"/>
              <w:left w:val="nil"/>
              <w:bottom w:val="single" w:color="000000" w:sz="4" w:space="0"/>
              <w:right w:val="nil"/>
            </w:tcBorders>
            <w:tcMar>
              <w:top w:w="12" w:type="dxa"/>
              <w:left w:w="12" w:type="dxa"/>
              <w:right w:w="12" w:type="dxa"/>
            </w:tcMar>
            <w:vAlign w:val="center"/>
          </w:tcPr>
          <w:p>
            <w:pPr>
              <w:widowControl/>
              <w:spacing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（2021年度）</w:t>
            </w:r>
          </w:p>
        </w:tc>
      </w:tr>
      <w:tr>
        <w:tblPrEx>
          <w:tblCellMar>
            <w:top w:w="0" w:type="dxa"/>
            <w:left w:w="0" w:type="dxa"/>
            <w:bottom w:w="0" w:type="dxa"/>
            <w:right w:w="0" w:type="dxa"/>
          </w:tblCellMar>
        </w:tblPrEx>
        <w:trPr>
          <w:trHeight w:val="90" w:hRule="atLeast"/>
        </w:trPr>
        <w:tc>
          <w:tcPr>
            <w:tcW w:w="2333"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专项（项目）名称</w:t>
            </w:r>
          </w:p>
        </w:tc>
        <w:tc>
          <w:tcPr>
            <w:tcW w:w="6507" w:type="dxa"/>
            <w:gridSpan w:val="1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（部门预算项目或专项名称）</w:t>
            </w:r>
          </w:p>
        </w:tc>
      </w:tr>
      <w:tr>
        <w:tblPrEx>
          <w:tblCellMar>
            <w:top w:w="0" w:type="dxa"/>
            <w:left w:w="0" w:type="dxa"/>
            <w:bottom w:w="0" w:type="dxa"/>
            <w:right w:w="0" w:type="dxa"/>
          </w:tblCellMar>
        </w:tblPrEx>
        <w:trPr>
          <w:trHeight w:val="90" w:hRule="atLeast"/>
        </w:trPr>
        <w:tc>
          <w:tcPr>
            <w:tcW w:w="2333"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市级主管部门</w:t>
            </w:r>
          </w:p>
        </w:tc>
        <w:tc>
          <w:tcPr>
            <w:tcW w:w="310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30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实施单位</w:t>
            </w:r>
          </w:p>
        </w:tc>
        <w:tc>
          <w:tcPr>
            <w:tcW w:w="2104"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90" w:hRule="atLeast"/>
        </w:trPr>
        <w:tc>
          <w:tcPr>
            <w:tcW w:w="2333" w:type="dxa"/>
            <w:gridSpan w:val="6"/>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项目资金（万元）</w:t>
            </w:r>
          </w:p>
        </w:tc>
        <w:tc>
          <w:tcPr>
            <w:tcW w:w="18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全年预算数（A）</w:t>
            </w:r>
          </w:p>
        </w:tc>
        <w:tc>
          <w:tcPr>
            <w:tcW w:w="2365"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全年执行数（B）</w:t>
            </w:r>
          </w:p>
        </w:tc>
        <w:tc>
          <w:tcPr>
            <w:tcW w:w="1040"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执行率（B/A）</w:t>
            </w:r>
          </w:p>
        </w:tc>
      </w:tr>
      <w:tr>
        <w:tblPrEx>
          <w:tblCellMar>
            <w:top w:w="0" w:type="dxa"/>
            <w:left w:w="0" w:type="dxa"/>
            <w:bottom w:w="0" w:type="dxa"/>
            <w:right w:w="0" w:type="dxa"/>
          </w:tblCellMar>
        </w:tblPrEx>
        <w:trPr>
          <w:trHeight w:val="90" w:hRule="atLeast"/>
        </w:trPr>
        <w:tc>
          <w:tcPr>
            <w:tcW w:w="2333" w:type="dxa"/>
            <w:gridSpan w:val="6"/>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8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年度资金总额：</w:t>
            </w:r>
          </w:p>
        </w:tc>
        <w:tc>
          <w:tcPr>
            <w:tcW w:w="1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2365"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040"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90" w:hRule="atLeast"/>
        </w:trPr>
        <w:tc>
          <w:tcPr>
            <w:tcW w:w="2333" w:type="dxa"/>
            <w:gridSpan w:val="6"/>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8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其中:市级财政资金</w:t>
            </w:r>
          </w:p>
        </w:tc>
        <w:tc>
          <w:tcPr>
            <w:tcW w:w="1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2365"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040"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90" w:hRule="atLeast"/>
        </w:trPr>
        <w:tc>
          <w:tcPr>
            <w:tcW w:w="2333" w:type="dxa"/>
            <w:gridSpan w:val="6"/>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8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 xml:space="preserve"> 其他资金</w:t>
            </w:r>
          </w:p>
        </w:tc>
        <w:tc>
          <w:tcPr>
            <w:tcW w:w="1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2365"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040"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90" w:hRule="atLeast"/>
        </w:trPr>
        <w:tc>
          <w:tcPr>
            <w:tcW w:w="2333" w:type="dxa"/>
            <w:gridSpan w:val="6"/>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8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textAlignment w:val="center"/>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2365"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040"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90" w:hRule="atLeast"/>
        </w:trPr>
        <w:tc>
          <w:tcPr>
            <w:tcW w:w="525"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 xml:space="preserve">年度总体目标 </w:t>
            </w:r>
          </w:p>
        </w:tc>
        <w:tc>
          <w:tcPr>
            <w:tcW w:w="4910"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年初设定目标</w:t>
            </w:r>
          </w:p>
        </w:tc>
        <w:tc>
          <w:tcPr>
            <w:tcW w:w="3405" w:type="dxa"/>
            <w:gridSpan w:val="11"/>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全年实际完成情况</w:t>
            </w:r>
          </w:p>
        </w:tc>
      </w:tr>
      <w:tr>
        <w:tblPrEx>
          <w:tblCellMar>
            <w:top w:w="0" w:type="dxa"/>
            <w:left w:w="0" w:type="dxa"/>
            <w:bottom w:w="0" w:type="dxa"/>
            <w:right w:w="0" w:type="dxa"/>
          </w:tblCellMar>
        </w:tblPrEx>
        <w:trPr>
          <w:trHeight w:val="90" w:hRule="atLeast"/>
        </w:trPr>
        <w:tc>
          <w:tcPr>
            <w:tcW w:w="5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4910"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3405" w:type="dxa"/>
            <w:gridSpan w:val="11"/>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90" w:hRule="atLeast"/>
        </w:trPr>
        <w:tc>
          <w:tcPr>
            <w:tcW w:w="525"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textAlignment w:val="center"/>
              <w:rPr>
                <w:rFonts w:ascii="宋体" w:hAnsi="宋体" w:cs="宋体"/>
                <w:color w:val="000000"/>
                <w:kern w:val="0"/>
                <w:szCs w:val="21"/>
              </w:rPr>
            </w:pPr>
            <w:r>
              <w:rPr>
                <w:rFonts w:hint="eastAsia" w:ascii="宋体" w:hAnsi="宋体" w:cs="宋体"/>
                <w:color w:val="000000"/>
                <w:kern w:val="0"/>
                <w:szCs w:val="21"/>
              </w:rPr>
              <w:t>绩</w:t>
            </w:r>
          </w:p>
          <w:p>
            <w:pPr>
              <w:spacing w:line="220" w:lineRule="exact"/>
              <w:jc w:val="center"/>
              <w:textAlignment w:val="center"/>
              <w:rPr>
                <w:rFonts w:ascii="宋体" w:hAnsi="宋体" w:cs="宋体"/>
                <w:color w:val="000000"/>
                <w:kern w:val="0"/>
                <w:szCs w:val="21"/>
              </w:rPr>
            </w:pPr>
          </w:p>
          <w:p>
            <w:pPr>
              <w:spacing w:line="220" w:lineRule="exact"/>
              <w:jc w:val="center"/>
              <w:textAlignment w:val="center"/>
              <w:rPr>
                <w:rFonts w:ascii="宋体" w:hAnsi="宋体" w:cs="宋体"/>
                <w:color w:val="000000"/>
                <w:kern w:val="0"/>
                <w:szCs w:val="21"/>
              </w:rPr>
            </w:pPr>
            <w:r>
              <w:rPr>
                <w:rFonts w:hint="eastAsia" w:ascii="宋体" w:hAnsi="宋体" w:cs="宋体"/>
                <w:color w:val="000000"/>
                <w:kern w:val="0"/>
                <w:szCs w:val="21"/>
              </w:rPr>
              <w:t>效</w:t>
            </w:r>
          </w:p>
          <w:p>
            <w:pPr>
              <w:spacing w:line="220" w:lineRule="exact"/>
              <w:jc w:val="center"/>
              <w:textAlignment w:val="center"/>
              <w:rPr>
                <w:rFonts w:ascii="宋体" w:hAnsi="宋体" w:cs="宋体"/>
                <w:color w:val="000000"/>
                <w:kern w:val="0"/>
                <w:szCs w:val="21"/>
              </w:rPr>
            </w:pPr>
          </w:p>
          <w:p>
            <w:pPr>
              <w:spacing w:line="220" w:lineRule="exact"/>
              <w:jc w:val="center"/>
              <w:textAlignment w:val="center"/>
              <w:rPr>
                <w:rFonts w:ascii="宋体" w:hAnsi="宋体" w:cs="宋体"/>
                <w:color w:val="000000"/>
                <w:kern w:val="0"/>
                <w:szCs w:val="21"/>
              </w:rPr>
            </w:pPr>
            <w:r>
              <w:rPr>
                <w:rFonts w:hint="eastAsia" w:ascii="宋体" w:hAnsi="宋体" w:cs="宋体"/>
                <w:color w:val="000000"/>
                <w:kern w:val="0"/>
                <w:szCs w:val="21"/>
              </w:rPr>
              <w:t>指</w:t>
            </w:r>
          </w:p>
          <w:p>
            <w:pPr>
              <w:spacing w:line="220" w:lineRule="exact"/>
              <w:jc w:val="center"/>
              <w:textAlignment w:val="center"/>
              <w:rPr>
                <w:rFonts w:ascii="宋体" w:hAnsi="宋体" w:cs="宋体"/>
                <w:color w:val="000000"/>
                <w:kern w:val="0"/>
                <w:szCs w:val="21"/>
              </w:rPr>
            </w:pPr>
          </w:p>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标</w:t>
            </w:r>
          </w:p>
        </w:tc>
        <w:tc>
          <w:tcPr>
            <w:tcW w:w="62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一级指标</w:t>
            </w:r>
          </w:p>
        </w:tc>
        <w:tc>
          <w:tcPr>
            <w:tcW w:w="118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二级指标</w:t>
            </w:r>
          </w:p>
        </w:tc>
        <w:tc>
          <w:tcPr>
            <w:tcW w:w="310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三级指标</w:t>
            </w:r>
          </w:p>
        </w:tc>
        <w:tc>
          <w:tcPr>
            <w:tcW w:w="130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 xml:space="preserve">年度指标值 </w:t>
            </w:r>
          </w:p>
        </w:tc>
        <w:tc>
          <w:tcPr>
            <w:tcW w:w="8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全年完成值</w:t>
            </w:r>
          </w:p>
        </w:tc>
        <w:tc>
          <w:tcPr>
            <w:tcW w:w="129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未完成原因改进措施</w:t>
            </w:r>
          </w:p>
        </w:tc>
      </w:tr>
      <w:tr>
        <w:tblPrEx>
          <w:tblCellMar>
            <w:top w:w="0" w:type="dxa"/>
            <w:left w:w="0" w:type="dxa"/>
            <w:bottom w:w="0" w:type="dxa"/>
            <w:right w:w="0" w:type="dxa"/>
          </w:tblCellMar>
        </w:tblPrEx>
        <w:trPr>
          <w:trHeight w:val="90" w:hRule="atLeast"/>
        </w:trPr>
        <w:tc>
          <w:tcPr>
            <w:tcW w:w="5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625"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产出指标</w:t>
            </w:r>
          </w:p>
        </w:tc>
        <w:tc>
          <w:tcPr>
            <w:tcW w:w="1183"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数量指标</w:t>
            </w:r>
          </w:p>
        </w:tc>
        <w:tc>
          <w:tcPr>
            <w:tcW w:w="18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30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8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9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90" w:hRule="atLeast"/>
        </w:trPr>
        <w:tc>
          <w:tcPr>
            <w:tcW w:w="5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6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183"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8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30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8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9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90" w:hRule="atLeast"/>
        </w:trPr>
        <w:tc>
          <w:tcPr>
            <w:tcW w:w="5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6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183"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8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30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8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9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90" w:hRule="atLeast"/>
        </w:trPr>
        <w:tc>
          <w:tcPr>
            <w:tcW w:w="5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6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183"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质量指标</w:t>
            </w:r>
          </w:p>
        </w:tc>
        <w:tc>
          <w:tcPr>
            <w:tcW w:w="18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30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8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9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90" w:hRule="atLeast"/>
        </w:trPr>
        <w:tc>
          <w:tcPr>
            <w:tcW w:w="5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6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183"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8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30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8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9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90" w:hRule="atLeast"/>
        </w:trPr>
        <w:tc>
          <w:tcPr>
            <w:tcW w:w="5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6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183"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8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30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8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9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90" w:hRule="atLeast"/>
        </w:trPr>
        <w:tc>
          <w:tcPr>
            <w:tcW w:w="5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6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183"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时效指标</w:t>
            </w:r>
          </w:p>
        </w:tc>
        <w:tc>
          <w:tcPr>
            <w:tcW w:w="18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30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8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9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90" w:hRule="atLeast"/>
        </w:trPr>
        <w:tc>
          <w:tcPr>
            <w:tcW w:w="5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6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183"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8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30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8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9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90" w:hRule="atLeast"/>
        </w:trPr>
        <w:tc>
          <w:tcPr>
            <w:tcW w:w="5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6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183"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成本指标</w:t>
            </w:r>
          </w:p>
        </w:tc>
        <w:tc>
          <w:tcPr>
            <w:tcW w:w="18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30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8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9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90" w:hRule="atLeast"/>
        </w:trPr>
        <w:tc>
          <w:tcPr>
            <w:tcW w:w="5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6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183"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8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30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8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9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90" w:hRule="atLeast"/>
        </w:trPr>
        <w:tc>
          <w:tcPr>
            <w:tcW w:w="5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6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18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w:t>
            </w:r>
          </w:p>
        </w:tc>
        <w:tc>
          <w:tcPr>
            <w:tcW w:w="18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30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8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9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90" w:hRule="atLeast"/>
        </w:trPr>
        <w:tc>
          <w:tcPr>
            <w:tcW w:w="5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625" w:type="dxa"/>
            <w:gridSpan w:val="2"/>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1183"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textAlignment w:val="center"/>
              <w:rPr>
                <w:rFonts w:ascii="宋体" w:hAnsi="宋体" w:cs="宋体"/>
                <w:color w:val="000000"/>
                <w:kern w:val="0"/>
                <w:szCs w:val="21"/>
              </w:rPr>
            </w:pPr>
            <w:r>
              <w:rPr>
                <w:rFonts w:hint="eastAsia" w:ascii="宋体" w:hAnsi="宋体" w:cs="宋体"/>
                <w:color w:val="000000"/>
                <w:kern w:val="0"/>
                <w:szCs w:val="21"/>
              </w:rPr>
              <w:t>经济效益</w:t>
            </w:r>
          </w:p>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指标</w:t>
            </w:r>
          </w:p>
        </w:tc>
        <w:tc>
          <w:tcPr>
            <w:tcW w:w="18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30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8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9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90" w:hRule="atLeast"/>
        </w:trPr>
        <w:tc>
          <w:tcPr>
            <w:tcW w:w="5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625" w:type="dxa"/>
            <w:gridSpan w:val="2"/>
            <w:vMerge w:val="continue"/>
            <w:tcBorders>
              <w:left w:val="single" w:color="000000" w:sz="4" w:space="0"/>
              <w:right w:val="single" w:color="000000" w:sz="4" w:space="0"/>
            </w:tcBorders>
            <w:tcMar>
              <w:top w:w="12" w:type="dxa"/>
              <w:left w:w="12" w:type="dxa"/>
              <w:right w:w="12" w:type="dxa"/>
            </w:tcMar>
            <w:vAlign w:val="center"/>
          </w:tcPr>
          <w:p>
            <w:pPr>
              <w:spacing w:line="220" w:lineRule="exact"/>
              <w:jc w:val="center"/>
              <w:textAlignment w:val="center"/>
              <w:rPr>
                <w:rFonts w:ascii="宋体" w:hAnsi="宋体" w:cs="宋体"/>
                <w:color w:val="000000"/>
                <w:szCs w:val="21"/>
              </w:rPr>
            </w:pPr>
          </w:p>
        </w:tc>
        <w:tc>
          <w:tcPr>
            <w:tcW w:w="1183"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8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30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8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9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90" w:hRule="atLeast"/>
        </w:trPr>
        <w:tc>
          <w:tcPr>
            <w:tcW w:w="5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625" w:type="dxa"/>
            <w:gridSpan w:val="2"/>
            <w:vMerge w:val="continue"/>
            <w:tcBorders>
              <w:left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183"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textAlignment w:val="center"/>
              <w:rPr>
                <w:rFonts w:ascii="宋体" w:hAnsi="宋体" w:cs="宋体"/>
                <w:color w:val="000000"/>
                <w:kern w:val="0"/>
                <w:szCs w:val="21"/>
              </w:rPr>
            </w:pPr>
            <w:r>
              <w:rPr>
                <w:rFonts w:hint="eastAsia" w:ascii="宋体" w:hAnsi="宋体" w:cs="宋体"/>
                <w:color w:val="000000"/>
                <w:kern w:val="0"/>
                <w:szCs w:val="21"/>
              </w:rPr>
              <w:t>社会效益</w:t>
            </w:r>
          </w:p>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指标</w:t>
            </w:r>
          </w:p>
        </w:tc>
        <w:tc>
          <w:tcPr>
            <w:tcW w:w="18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30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8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9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90" w:hRule="atLeast"/>
        </w:trPr>
        <w:tc>
          <w:tcPr>
            <w:tcW w:w="5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625" w:type="dxa"/>
            <w:gridSpan w:val="2"/>
            <w:vMerge w:val="continue"/>
            <w:tcBorders>
              <w:left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183"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8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30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8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9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90" w:hRule="atLeast"/>
        </w:trPr>
        <w:tc>
          <w:tcPr>
            <w:tcW w:w="5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625" w:type="dxa"/>
            <w:gridSpan w:val="2"/>
            <w:vMerge w:val="continue"/>
            <w:tcBorders>
              <w:left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183"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textAlignment w:val="center"/>
              <w:rPr>
                <w:rFonts w:ascii="宋体" w:hAnsi="宋体" w:cs="宋体"/>
                <w:color w:val="000000"/>
                <w:kern w:val="0"/>
                <w:szCs w:val="21"/>
              </w:rPr>
            </w:pPr>
            <w:r>
              <w:rPr>
                <w:rFonts w:hint="eastAsia" w:ascii="宋体" w:hAnsi="宋体" w:cs="宋体"/>
                <w:color w:val="000000"/>
                <w:kern w:val="0"/>
                <w:szCs w:val="21"/>
              </w:rPr>
              <w:t>生态效益</w:t>
            </w:r>
          </w:p>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指标</w:t>
            </w:r>
          </w:p>
        </w:tc>
        <w:tc>
          <w:tcPr>
            <w:tcW w:w="18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30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8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9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90" w:hRule="atLeast"/>
        </w:trPr>
        <w:tc>
          <w:tcPr>
            <w:tcW w:w="5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625" w:type="dxa"/>
            <w:gridSpan w:val="2"/>
            <w:vMerge w:val="continue"/>
            <w:tcBorders>
              <w:left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183"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8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30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8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9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90" w:hRule="atLeast"/>
        </w:trPr>
        <w:tc>
          <w:tcPr>
            <w:tcW w:w="5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625" w:type="dxa"/>
            <w:gridSpan w:val="2"/>
            <w:vMerge w:val="continue"/>
            <w:tcBorders>
              <w:left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183"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可持续影响指标</w:t>
            </w:r>
          </w:p>
        </w:tc>
        <w:tc>
          <w:tcPr>
            <w:tcW w:w="18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30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8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9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90" w:hRule="atLeast"/>
        </w:trPr>
        <w:tc>
          <w:tcPr>
            <w:tcW w:w="5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625" w:type="dxa"/>
            <w:gridSpan w:val="2"/>
            <w:vMerge w:val="continue"/>
            <w:tcBorders>
              <w:left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183"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8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30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8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9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90" w:hRule="atLeast"/>
        </w:trPr>
        <w:tc>
          <w:tcPr>
            <w:tcW w:w="5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625" w:type="dxa"/>
            <w:gridSpan w:val="2"/>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18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w:t>
            </w:r>
          </w:p>
        </w:tc>
        <w:tc>
          <w:tcPr>
            <w:tcW w:w="18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30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8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9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90" w:hRule="atLeast"/>
        </w:trPr>
        <w:tc>
          <w:tcPr>
            <w:tcW w:w="5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625"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满意度指标</w:t>
            </w:r>
          </w:p>
        </w:tc>
        <w:tc>
          <w:tcPr>
            <w:tcW w:w="1183"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服务对象满意度指标</w:t>
            </w:r>
          </w:p>
        </w:tc>
        <w:tc>
          <w:tcPr>
            <w:tcW w:w="18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30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8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9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90" w:hRule="atLeast"/>
        </w:trPr>
        <w:tc>
          <w:tcPr>
            <w:tcW w:w="5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6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183"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8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30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8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9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90" w:hRule="atLeast"/>
        </w:trPr>
        <w:tc>
          <w:tcPr>
            <w:tcW w:w="5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62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18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w:t>
            </w:r>
          </w:p>
        </w:tc>
        <w:tc>
          <w:tcPr>
            <w:tcW w:w="18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30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8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9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90" w:hRule="atLeast"/>
        </w:trPr>
        <w:tc>
          <w:tcPr>
            <w:tcW w:w="52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textAlignment w:val="center"/>
              <w:rPr>
                <w:rFonts w:ascii="宋体" w:hAnsi="宋体" w:cs="宋体"/>
                <w:color w:val="000000"/>
                <w:szCs w:val="21"/>
              </w:rPr>
            </w:pPr>
            <w:r>
              <w:rPr>
                <w:rFonts w:hint="eastAsia" w:ascii="宋体" w:hAnsi="宋体" w:cs="宋体"/>
                <w:color w:val="000000"/>
                <w:kern w:val="0"/>
                <w:szCs w:val="21"/>
              </w:rPr>
              <w:t>说明</w:t>
            </w:r>
          </w:p>
        </w:tc>
        <w:tc>
          <w:tcPr>
            <w:tcW w:w="62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18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20" w:lineRule="exact"/>
              <w:jc w:val="center"/>
              <w:rPr>
                <w:rFonts w:ascii="宋体" w:hAnsi="宋体" w:cs="宋体"/>
                <w:color w:val="000000"/>
                <w:szCs w:val="21"/>
              </w:rPr>
            </w:pPr>
          </w:p>
        </w:tc>
        <w:tc>
          <w:tcPr>
            <w:tcW w:w="18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30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81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c>
          <w:tcPr>
            <w:tcW w:w="129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宋体" w:hAnsi="宋体" w:cs="宋体"/>
                <w:color w:val="000000"/>
                <w:szCs w:val="21"/>
              </w:rPr>
            </w:pPr>
          </w:p>
        </w:tc>
      </w:tr>
      <w:tr>
        <w:tblPrEx>
          <w:tblCellMar>
            <w:top w:w="0" w:type="dxa"/>
            <w:left w:w="0" w:type="dxa"/>
            <w:bottom w:w="0" w:type="dxa"/>
            <w:right w:w="0" w:type="dxa"/>
          </w:tblCellMar>
        </w:tblPrEx>
        <w:trPr>
          <w:trHeight w:val="1809" w:hRule="atLeast"/>
        </w:trPr>
        <w:tc>
          <w:tcPr>
            <w:tcW w:w="8840" w:type="dxa"/>
            <w:gridSpan w:val="20"/>
            <w:tcBorders>
              <w:top w:val="single" w:color="000000" w:sz="4" w:space="0"/>
              <w:left w:val="nil"/>
              <w:bottom w:val="nil"/>
              <w:right w:val="nil"/>
            </w:tcBorders>
            <w:tcMar>
              <w:top w:w="12" w:type="dxa"/>
              <w:left w:w="12" w:type="dxa"/>
              <w:right w:w="12" w:type="dxa"/>
            </w:tcMar>
            <w:vAlign w:val="center"/>
          </w:tcPr>
          <w:p>
            <w:pPr>
              <w:spacing w:line="240" w:lineRule="exact"/>
              <w:jc w:val="left"/>
              <w:textAlignment w:val="center"/>
              <w:rPr>
                <w:rFonts w:ascii="宋体" w:hAnsi="宋体" w:cs="宋体"/>
                <w:color w:val="000000"/>
                <w:kern w:val="0"/>
                <w:sz w:val="18"/>
                <w:szCs w:val="18"/>
              </w:rPr>
            </w:pPr>
          </w:p>
          <w:p>
            <w:pPr>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注：1、其他资金包括和财政资金共同投入到同一项目的自有资金、社会资金，以及以前年度的结余资金等。</w:t>
            </w:r>
          </w:p>
          <w:p>
            <w:pPr>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2、定量指标，资金使用单位填写本地区实际完成数。主管部门汇总时，对绝对值直接累加计算，相对值按照资金额度加权平均计算。</w:t>
            </w:r>
          </w:p>
          <w:p>
            <w:pPr>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3、定性指标根据指标完成情况分为：全部或基本达成预期指标、部分达成预期指标并具有一定效果、未达成预期指标且效果较差三档，分别按照100%－80%（含）、80%-60%（含）、60%－0%合理填写完成比例。</w:t>
            </w:r>
          </w:p>
          <w:p>
            <w:pPr>
              <w:spacing w:line="240" w:lineRule="exact"/>
              <w:jc w:val="left"/>
              <w:textAlignment w:val="center"/>
              <w:rPr>
                <w:rFonts w:ascii="宋体" w:hAnsi="宋体" w:cs="宋体"/>
                <w:color w:val="000000"/>
                <w:kern w:val="0"/>
                <w:sz w:val="18"/>
                <w:szCs w:val="18"/>
              </w:rPr>
            </w:pPr>
          </w:p>
          <w:p>
            <w:pPr>
              <w:spacing w:line="240" w:lineRule="exact"/>
              <w:jc w:val="left"/>
              <w:textAlignment w:val="center"/>
              <w:rPr>
                <w:rFonts w:ascii="宋体" w:hAnsi="宋体" w:cs="宋体"/>
                <w:color w:val="000000"/>
                <w:kern w:val="0"/>
                <w:sz w:val="18"/>
                <w:szCs w:val="18"/>
              </w:rPr>
            </w:pPr>
          </w:p>
        </w:tc>
      </w:tr>
      <w:tr>
        <w:tblPrEx>
          <w:tblCellMar>
            <w:top w:w="0" w:type="dxa"/>
            <w:left w:w="0" w:type="dxa"/>
            <w:bottom w:w="0" w:type="dxa"/>
            <w:right w:w="0" w:type="dxa"/>
          </w:tblCellMar>
        </w:tblPrEx>
        <w:trPr>
          <w:gridAfter w:val="1"/>
          <w:wAfter w:w="158" w:type="dxa"/>
          <w:trHeight w:val="90" w:hRule="atLeast"/>
        </w:trPr>
        <w:tc>
          <w:tcPr>
            <w:tcW w:w="8682" w:type="dxa"/>
            <w:gridSpan w:val="19"/>
            <w:tcBorders>
              <w:top w:val="nil"/>
              <w:left w:val="nil"/>
              <w:bottom w:val="nil"/>
              <w:right w:val="nil"/>
            </w:tcBorders>
            <w:tcMar>
              <w:top w:w="12" w:type="dxa"/>
              <w:left w:w="12" w:type="dxa"/>
              <w:right w:w="12" w:type="dxa"/>
            </w:tcMar>
            <w:vAlign w:val="center"/>
          </w:tcPr>
          <w:p>
            <w:pPr>
              <w:adjustRightInd w:val="0"/>
              <w:snapToGrid w:val="0"/>
              <w:spacing w:line="560" w:lineRule="exact"/>
              <w:ind w:firstLine="880" w:firstLineChars="200"/>
              <w:jc w:val="center"/>
              <w:rPr>
                <w:rFonts w:ascii="方正小标宋简体" w:hAnsi="方正小标宋简体" w:eastAsia="方正小标宋简体" w:cs="方正小标宋简体"/>
                <w:color w:val="000000"/>
                <w:kern w:val="0"/>
                <w:sz w:val="44"/>
                <w:szCs w:val="44"/>
              </w:rPr>
            </w:pPr>
          </w:p>
          <w:p>
            <w:pPr>
              <w:adjustRightInd w:val="0"/>
              <w:snapToGrid w:val="0"/>
              <w:spacing w:line="560" w:lineRule="exact"/>
              <w:ind w:firstLine="880" w:firstLineChars="200"/>
              <w:jc w:val="center"/>
              <w:rPr>
                <w:rFonts w:ascii="方正小标宋简体" w:hAnsi="方正小标宋简体" w:eastAsia="方正小标宋简体" w:cs="方正小标宋简体"/>
                <w:color w:val="000000"/>
                <w:kern w:val="0"/>
                <w:sz w:val="44"/>
                <w:szCs w:val="44"/>
              </w:rPr>
            </w:pPr>
          </w:p>
          <w:p>
            <w:pPr>
              <w:adjustRightInd w:val="0"/>
              <w:snapToGrid w:val="0"/>
              <w:spacing w:line="560" w:lineRule="exact"/>
              <w:ind w:firstLine="880" w:firstLineChars="20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44"/>
                <w:szCs w:val="44"/>
              </w:rPr>
              <w:t>部门整体支出绩效自评表</w:t>
            </w:r>
          </w:p>
        </w:tc>
      </w:tr>
      <w:tr>
        <w:tblPrEx>
          <w:tblCellMar>
            <w:top w:w="0" w:type="dxa"/>
            <w:left w:w="0" w:type="dxa"/>
            <w:bottom w:w="0" w:type="dxa"/>
            <w:right w:w="0" w:type="dxa"/>
          </w:tblCellMar>
        </w:tblPrEx>
        <w:trPr>
          <w:trHeight w:val="90" w:hRule="atLeast"/>
        </w:trPr>
        <w:tc>
          <w:tcPr>
            <w:tcW w:w="8840" w:type="dxa"/>
            <w:gridSpan w:val="20"/>
            <w:tcBorders>
              <w:top w:val="nil"/>
              <w:left w:val="nil"/>
              <w:bottom w:val="nil"/>
              <w:right w:val="nil"/>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（2021年度）</w:t>
            </w:r>
          </w:p>
        </w:tc>
      </w:tr>
      <w:tr>
        <w:tblPrEx>
          <w:tblCellMar>
            <w:top w:w="0" w:type="dxa"/>
            <w:left w:w="0" w:type="dxa"/>
            <w:bottom w:w="0" w:type="dxa"/>
            <w:right w:w="0" w:type="dxa"/>
          </w:tblCellMar>
        </w:tblPrEx>
        <w:trPr>
          <w:trHeight w:val="90" w:hRule="atLeast"/>
        </w:trPr>
        <w:tc>
          <w:tcPr>
            <w:tcW w:w="8840" w:type="dxa"/>
            <w:gridSpan w:val="20"/>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填报单位：自评得分：</w:t>
            </w:r>
          </w:p>
        </w:tc>
      </w:tr>
      <w:tr>
        <w:tblPrEx>
          <w:tblCellMar>
            <w:top w:w="0" w:type="dxa"/>
            <w:left w:w="0" w:type="dxa"/>
            <w:bottom w:w="0" w:type="dxa"/>
            <w:right w:w="0" w:type="dxa"/>
          </w:tblCellMar>
        </w:tblPrEx>
        <w:trPr>
          <w:trHeight w:val="90" w:hRule="atLeast"/>
        </w:trPr>
        <w:tc>
          <w:tcPr>
            <w:tcW w:w="3578"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（一）简要概述部门职能与职责。</w:t>
            </w:r>
          </w:p>
        </w:tc>
        <w:tc>
          <w:tcPr>
            <w:tcW w:w="5262" w:type="dxa"/>
            <w:gridSpan w:val="1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3578"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（二）简要概述部门支出情况，按活动内容分类。</w:t>
            </w:r>
          </w:p>
        </w:tc>
        <w:tc>
          <w:tcPr>
            <w:tcW w:w="5262" w:type="dxa"/>
            <w:gridSpan w:val="1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3578"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（三）简要概述当年政府下达的重点工作。</w:t>
            </w:r>
          </w:p>
        </w:tc>
        <w:tc>
          <w:tcPr>
            <w:tcW w:w="5262" w:type="dxa"/>
            <w:gridSpan w:val="1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一级指标</w:t>
            </w:r>
          </w:p>
        </w:tc>
        <w:tc>
          <w:tcPr>
            <w:tcW w:w="39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二级指标</w:t>
            </w:r>
          </w:p>
        </w:tc>
        <w:tc>
          <w:tcPr>
            <w:tcW w:w="4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三级指标</w:t>
            </w:r>
          </w:p>
        </w:tc>
        <w:tc>
          <w:tcPr>
            <w:tcW w:w="2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分值</w:t>
            </w:r>
          </w:p>
        </w:tc>
        <w:tc>
          <w:tcPr>
            <w:tcW w:w="213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指标说明</w:t>
            </w:r>
          </w:p>
        </w:tc>
        <w:tc>
          <w:tcPr>
            <w:tcW w:w="1908"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评分标准</w:t>
            </w:r>
          </w:p>
        </w:tc>
        <w:tc>
          <w:tcPr>
            <w:tcW w:w="6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指标值计算公工和数据获取方式</w:t>
            </w:r>
          </w:p>
        </w:tc>
        <w:tc>
          <w:tcPr>
            <w:tcW w:w="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年初</w:t>
            </w:r>
          </w:p>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目标值</w:t>
            </w:r>
          </w:p>
        </w:tc>
        <w:tc>
          <w:tcPr>
            <w:tcW w:w="3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实际</w:t>
            </w:r>
          </w:p>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完成值</w:t>
            </w:r>
          </w:p>
        </w:tc>
        <w:tc>
          <w:tcPr>
            <w:tcW w:w="3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得分</w:t>
            </w:r>
          </w:p>
        </w:tc>
        <w:tc>
          <w:tcPr>
            <w:tcW w:w="850"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未完成原因分析与改进措施</w:t>
            </w:r>
          </w:p>
        </w:tc>
        <w:tc>
          <w:tcPr>
            <w:tcW w:w="82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绩效指标分析与建议</w:t>
            </w:r>
          </w:p>
        </w:tc>
      </w:tr>
      <w:tr>
        <w:tblPrEx>
          <w:tblCellMar>
            <w:top w:w="0" w:type="dxa"/>
            <w:left w:w="0" w:type="dxa"/>
            <w:bottom w:w="0" w:type="dxa"/>
            <w:right w:w="0" w:type="dxa"/>
          </w:tblCellMar>
        </w:tblPrEx>
        <w:trPr>
          <w:trHeight w:val="90" w:hRule="atLeast"/>
        </w:trPr>
        <w:tc>
          <w:tcPr>
            <w:tcW w:w="29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投入</w:t>
            </w:r>
          </w:p>
        </w:tc>
        <w:tc>
          <w:tcPr>
            <w:tcW w:w="392"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预算执行（25分）</w:t>
            </w:r>
          </w:p>
        </w:tc>
        <w:tc>
          <w:tcPr>
            <w:tcW w:w="459" w:type="dxa"/>
            <w:tcBorders>
              <w:top w:val="nil"/>
              <w:left w:val="nil"/>
              <w:bottom w:val="nil"/>
              <w:right w:val="nil"/>
            </w:tcBorders>
            <w:tcMar>
              <w:top w:w="12" w:type="dxa"/>
              <w:left w:w="12" w:type="dxa"/>
              <w:right w:w="12" w:type="dxa"/>
            </w:tcMar>
            <w:vAlign w:val="center"/>
          </w:tcPr>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预算完成率（10分）</w:t>
            </w:r>
          </w:p>
        </w:tc>
        <w:tc>
          <w:tcPr>
            <w:tcW w:w="2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213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预算完成率＝（预算完成数/预算数）×100%，用以反映和考核部门（单位）预算完成程度。</w:t>
            </w:r>
          </w:p>
          <w:p>
            <w:pPr>
              <w:widowControl/>
              <w:spacing w:line="23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预算完成数：部门（单位）本年度实际完成的预算数。</w:t>
            </w:r>
          </w:p>
          <w:p>
            <w:pPr>
              <w:widowControl/>
              <w:spacing w:line="23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预算数：财政部门批复的本年度部门（单位）预算数。</w:t>
            </w:r>
          </w:p>
        </w:tc>
        <w:tc>
          <w:tcPr>
            <w:tcW w:w="1908"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left"/>
              <w:textAlignment w:val="center"/>
              <w:rPr>
                <w:rFonts w:ascii="宋体" w:hAnsi="宋体" w:cs="宋体"/>
                <w:color w:val="000000"/>
                <w:spacing w:val="-6"/>
                <w:kern w:val="0"/>
                <w:sz w:val="18"/>
                <w:szCs w:val="18"/>
              </w:rPr>
            </w:pPr>
            <w:r>
              <w:rPr>
                <w:rFonts w:hint="eastAsia" w:ascii="宋体" w:hAnsi="宋体" w:cs="宋体"/>
                <w:color w:val="000000"/>
                <w:kern w:val="0"/>
                <w:sz w:val="18"/>
                <w:szCs w:val="18"/>
              </w:rPr>
              <w:t>预算</w:t>
            </w:r>
            <w:r>
              <w:rPr>
                <w:rFonts w:hint="eastAsia" w:ascii="宋体" w:hAnsi="宋体" w:cs="宋体"/>
                <w:color w:val="000000"/>
                <w:spacing w:val="-6"/>
                <w:kern w:val="0"/>
                <w:sz w:val="18"/>
                <w:szCs w:val="18"/>
              </w:rPr>
              <w:t>完成率＝100%的，得10分。</w:t>
            </w:r>
          </w:p>
          <w:p>
            <w:pPr>
              <w:widowControl/>
              <w:spacing w:line="230" w:lineRule="exact"/>
              <w:jc w:val="left"/>
              <w:textAlignment w:val="center"/>
              <w:rPr>
                <w:rFonts w:ascii="宋体" w:hAnsi="宋体" w:cs="宋体"/>
                <w:color w:val="000000"/>
                <w:spacing w:val="-6"/>
                <w:kern w:val="0"/>
                <w:sz w:val="18"/>
                <w:szCs w:val="18"/>
              </w:rPr>
            </w:pPr>
            <w:r>
              <w:rPr>
                <w:rFonts w:hint="eastAsia" w:ascii="宋体" w:hAnsi="宋体" w:cs="宋体"/>
                <w:color w:val="000000"/>
                <w:spacing w:val="-6"/>
                <w:kern w:val="0"/>
                <w:sz w:val="18"/>
                <w:szCs w:val="18"/>
              </w:rPr>
              <w:t>预算完成率≥95%的，得9分。</w:t>
            </w:r>
          </w:p>
          <w:p>
            <w:pPr>
              <w:widowControl/>
              <w:spacing w:line="230" w:lineRule="exact"/>
              <w:jc w:val="left"/>
              <w:textAlignment w:val="center"/>
              <w:rPr>
                <w:rFonts w:ascii="宋体" w:hAnsi="宋体" w:cs="宋体"/>
                <w:color w:val="000000"/>
                <w:spacing w:val="-6"/>
                <w:kern w:val="0"/>
                <w:sz w:val="18"/>
                <w:szCs w:val="18"/>
              </w:rPr>
            </w:pPr>
            <w:r>
              <w:rPr>
                <w:rFonts w:hint="eastAsia" w:ascii="宋体" w:hAnsi="宋体" w:cs="宋体"/>
                <w:color w:val="000000"/>
                <w:spacing w:val="-6"/>
                <w:kern w:val="0"/>
                <w:sz w:val="18"/>
                <w:szCs w:val="18"/>
              </w:rPr>
              <w:t>预算完成率在90%（含）和95%之间，得8分。</w:t>
            </w:r>
          </w:p>
          <w:p>
            <w:pPr>
              <w:widowControl/>
              <w:spacing w:line="230" w:lineRule="exact"/>
              <w:jc w:val="left"/>
              <w:textAlignment w:val="center"/>
              <w:rPr>
                <w:rFonts w:ascii="宋体" w:hAnsi="宋体" w:cs="宋体"/>
                <w:color w:val="000000"/>
                <w:spacing w:val="-6"/>
                <w:kern w:val="0"/>
                <w:sz w:val="18"/>
                <w:szCs w:val="18"/>
              </w:rPr>
            </w:pPr>
            <w:r>
              <w:rPr>
                <w:rFonts w:hint="eastAsia" w:ascii="宋体" w:hAnsi="宋体" w:cs="宋体"/>
                <w:color w:val="000000"/>
                <w:spacing w:val="-6"/>
                <w:kern w:val="0"/>
                <w:sz w:val="18"/>
                <w:szCs w:val="18"/>
              </w:rPr>
              <w:t>预算完成率在85%（含）和90%之间，得7分。</w:t>
            </w:r>
          </w:p>
          <w:p>
            <w:pPr>
              <w:widowControl/>
              <w:spacing w:line="230" w:lineRule="exact"/>
              <w:jc w:val="left"/>
              <w:textAlignment w:val="center"/>
              <w:rPr>
                <w:rFonts w:ascii="宋体" w:hAnsi="宋体" w:cs="宋体"/>
                <w:color w:val="000000"/>
                <w:spacing w:val="-6"/>
                <w:kern w:val="0"/>
                <w:sz w:val="18"/>
                <w:szCs w:val="18"/>
              </w:rPr>
            </w:pPr>
            <w:r>
              <w:rPr>
                <w:rFonts w:hint="eastAsia" w:ascii="宋体" w:hAnsi="宋体" w:cs="宋体"/>
                <w:color w:val="000000"/>
                <w:spacing w:val="-6"/>
                <w:kern w:val="0"/>
                <w:sz w:val="18"/>
                <w:szCs w:val="18"/>
              </w:rPr>
              <w:t>预算完成率在80%（含）和85%之间，得6分。</w:t>
            </w:r>
          </w:p>
          <w:p>
            <w:pPr>
              <w:widowControl/>
              <w:spacing w:line="230" w:lineRule="exact"/>
              <w:jc w:val="left"/>
              <w:textAlignment w:val="center"/>
              <w:rPr>
                <w:rFonts w:ascii="宋体" w:hAnsi="宋体" w:cs="宋体"/>
                <w:color w:val="000000"/>
                <w:spacing w:val="-6"/>
                <w:kern w:val="0"/>
                <w:sz w:val="18"/>
                <w:szCs w:val="18"/>
              </w:rPr>
            </w:pPr>
            <w:r>
              <w:rPr>
                <w:rFonts w:hint="eastAsia" w:ascii="宋体" w:hAnsi="宋体" w:cs="宋体"/>
                <w:color w:val="000000"/>
                <w:spacing w:val="-6"/>
                <w:kern w:val="0"/>
                <w:sz w:val="18"/>
                <w:szCs w:val="18"/>
              </w:rPr>
              <w:t>预算完成率在70%（含）和80%之间，得4分。</w:t>
            </w:r>
          </w:p>
          <w:p>
            <w:pPr>
              <w:widowControl/>
              <w:spacing w:line="230" w:lineRule="exact"/>
              <w:jc w:val="left"/>
              <w:textAlignment w:val="center"/>
              <w:rPr>
                <w:rFonts w:ascii="宋体" w:hAnsi="宋体" w:cs="宋体"/>
                <w:color w:val="000000"/>
                <w:sz w:val="18"/>
                <w:szCs w:val="18"/>
              </w:rPr>
            </w:pPr>
            <w:r>
              <w:rPr>
                <w:rFonts w:hint="eastAsia" w:ascii="宋体" w:hAnsi="宋体" w:cs="宋体"/>
                <w:color w:val="000000"/>
                <w:spacing w:val="-6"/>
                <w:kern w:val="0"/>
                <w:sz w:val="18"/>
                <w:szCs w:val="18"/>
              </w:rPr>
              <w:t>预算完成率〈70%”的，得0分。</w:t>
            </w:r>
          </w:p>
        </w:tc>
        <w:tc>
          <w:tcPr>
            <w:tcW w:w="6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3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3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850"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82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9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392"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4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预算调整率（5分）</w:t>
            </w:r>
          </w:p>
        </w:tc>
        <w:tc>
          <w:tcPr>
            <w:tcW w:w="2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13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预算调整数＝（预算调整数/预算数）×100%，用以反映和考核部门（单位）预算的调整程度。</w:t>
            </w:r>
          </w:p>
          <w:p>
            <w:pPr>
              <w:widowControl/>
              <w:spacing w:line="23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预算调整数：部门（单位）在本年度内涉及预算的追加、追减或结构调整的资金总和（因落实国家政策、发生不可抗力、上级部门或本级党委政府临时交办而产生的调整除外）。</w:t>
            </w:r>
          </w:p>
          <w:p>
            <w:pPr>
              <w:widowControl/>
              <w:spacing w:line="23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预算包括一般公共预算与政府性基金预算。</w:t>
            </w:r>
          </w:p>
        </w:tc>
        <w:tc>
          <w:tcPr>
            <w:tcW w:w="1908"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预算调整率绝对值≤5%，得5分。</w:t>
            </w:r>
          </w:p>
          <w:p>
            <w:pPr>
              <w:widowControl/>
              <w:spacing w:line="23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预算调整绝对值〉5%的，每增加0.1个百分点扣0.1分，扣完为止。</w:t>
            </w:r>
          </w:p>
        </w:tc>
        <w:tc>
          <w:tcPr>
            <w:tcW w:w="6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3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3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850"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82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9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投入</w:t>
            </w:r>
          </w:p>
        </w:tc>
        <w:tc>
          <w:tcPr>
            <w:tcW w:w="392"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预算执行（25分）</w:t>
            </w:r>
          </w:p>
        </w:tc>
        <w:tc>
          <w:tcPr>
            <w:tcW w:w="4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支出进度率（5分）</w:t>
            </w:r>
          </w:p>
        </w:tc>
        <w:tc>
          <w:tcPr>
            <w:tcW w:w="2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13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1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支出进度率＝（实际支出/支出预算）×100%，用以反映和考核部门（单位）预算执行的及时性和均衡性程度。</w:t>
            </w:r>
          </w:p>
          <w:p>
            <w:pPr>
              <w:widowControl/>
              <w:spacing w:line="21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半年支出进度＝部门上半年实际支出/（上年结余结转+本年部门预算安排+上半年执行中追加追减）*100%。</w:t>
            </w:r>
          </w:p>
          <w:p>
            <w:pPr>
              <w:widowControl/>
              <w:spacing w:line="21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前三季度支出进度＝部门前三季度实际支出/（上年结余结转+本年部门预算安排+前三季度执行中追加追减）*100%。</w:t>
            </w:r>
          </w:p>
        </w:tc>
        <w:tc>
          <w:tcPr>
            <w:tcW w:w="1908"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半年进度，进度率≥45%，得2分；进度率在40%（含）和45%之间，得1分；进度率〈40%，得0分。</w:t>
            </w:r>
          </w:p>
          <w:p>
            <w:pPr>
              <w:widowControl/>
              <w:spacing w:line="23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前三季度进度：进度率≥75%，得3分；进度率在60%（含）和75%之间，得2分；进度率〈60%，得0分。</w:t>
            </w:r>
          </w:p>
        </w:tc>
        <w:tc>
          <w:tcPr>
            <w:tcW w:w="6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3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3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850"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82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9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392"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4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预算编制准确率（5分）</w:t>
            </w:r>
          </w:p>
        </w:tc>
        <w:tc>
          <w:tcPr>
            <w:tcW w:w="2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13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部门预算中除财政拨款外的其他收入预算与决算差异率。</w:t>
            </w:r>
          </w:p>
          <w:p>
            <w:pPr>
              <w:widowControl/>
              <w:spacing w:line="23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预算编制准确率＝其他收入决算数/其他收入预算数×100%-100%。</w:t>
            </w:r>
          </w:p>
        </w:tc>
        <w:tc>
          <w:tcPr>
            <w:tcW w:w="1908"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预算编制准确率≤20%，得5分。</w:t>
            </w:r>
          </w:p>
          <w:p>
            <w:pPr>
              <w:widowControl/>
              <w:spacing w:line="23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预算编制准确率在20%和40%（含）之间，得3分。</w:t>
            </w:r>
          </w:p>
          <w:p>
            <w:pPr>
              <w:widowControl/>
              <w:spacing w:line="23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预算编制准确率＞40%，得0分。</w:t>
            </w:r>
          </w:p>
        </w:tc>
        <w:tc>
          <w:tcPr>
            <w:tcW w:w="6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3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3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850"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82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9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过程</w:t>
            </w:r>
          </w:p>
        </w:tc>
        <w:tc>
          <w:tcPr>
            <w:tcW w:w="392"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预算管理（15分）</w:t>
            </w:r>
          </w:p>
        </w:tc>
        <w:tc>
          <w:tcPr>
            <w:tcW w:w="4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“三公经费”控制率（5分）</w:t>
            </w:r>
          </w:p>
        </w:tc>
        <w:tc>
          <w:tcPr>
            <w:tcW w:w="2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13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“三公经费”控制率＝（“三公经费”实际支出数/“三公经费”预算安排数×100%，用以反映和考核部门（单位）对“三公经费”的实际控制程度。</w:t>
            </w:r>
          </w:p>
        </w:tc>
        <w:tc>
          <w:tcPr>
            <w:tcW w:w="1908"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三公经费控制率≤100%，得5分，每增加0.1个百分点扣0.5分，扣完为止。</w:t>
            </w:r>
          </w:p>
        </w:tc>
        <w:tc>
          <w:tcPr>
            <w:tcW w:w="6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3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3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850"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82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1622" w:hRule="atLeast"/>
        </w:trPr>
        <w:tc>
          <w:tcPr>
            <w:tcW w:w="29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392"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4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资产管理规范性（5分）</w:t>
            </w:r>
          </w:p>
        </w:tc>
        <w:tc>
          <w:tcPr>
            <w:tcW w:w="2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13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left"/>
              <w:textAlignment w:val="center"/>
              <w:rPr>
                <w:rFonts w:ascii="宋体" w:hAnsi="宋体" w:cs="宋体"/>
                <w:color w:val="000000"/>
                <w:spacing w:val="-11"/>
                <w:kern w:val="0"/>
                <w:sz w:val="18"/>
                <w:szCs w:val="18"/>
              </w:rPr>
            </w:pPr>
            <w:r>
              <w:rPr>
                <w:rFonts w:hint="eastAsia" w:ascii="宋体" w:hAnsi="宋体" w:cs="宋体"/>
                <w:color w:val="000000"/>
                <w:spacing w:val="-11"/>
                <w:kern w:val="0"/>
                <w:sz w:val="18"/>
                <w:szCs w:val="18"/>
              </w:rPr>
              <w:t>部门（单位）资产管理是否规范，用以反映和考核部门（单位）资产管理情况。</w:t>
            </w:r>
          </w:p>
          <w:p>
            <w:pPr>
              <w:widowControl/>
              <w:spacing w:line="230" w:lineRule="exact"/>
              <w:jc w:val="left"/>
              <w:textAlignment w:val="center"/>
              <w:rPr>
                <w:rFonts w:ascii="宋体" w:hAnsi="宋体" w:cs="宋体"/>
                <w:color w:val="000000"/>
                <w:spacing w:val="-11"/>
                <w:kern w:val="0"/>
                <w:sz w:val="18"/>
                <w:szCs w:val="18"/>
              </w:rPr>
            </w:pPr>
            <w:r>
              <w:rPr>
                <w:rFonts w:hint="eastAsia" w:ascii="宋体" w:hAnsi="宋体" w:cs="宋体"/>
                <w:color w:val="000000"/>
                <w:spacing w:val="-11"/>
                <w:kern w:val="0"/>
                <w:sz w:val="18"/>
                <w:szCs w:val="18"/>
              </w:rPr>
              <w:t>1、新增资产配置按预算执行。</w:t>
            </w:r>
          </w:p>
          <w:p>
            <w:pPr>
              <w:widowControl/>
              <w:spacing w:line="230" w:lineRule="exact"/>
              <w:jc w:val="left"/>
              <w:textAlignment w:val="center"/>
              <w:rPr>
                <w:rFonts w:ascii="宋体" w:hAnsi="宋体" w:cs="宋体"/>
                <w:color w:val="000000"/>
                <w:spacing w:val="-11"/>
                <w:kern w:val="0"/>
                <w:sz w:val="18"/>
                <w:szCs w:val="18"/>
              </w:rPr>
            </w:pPr>
            <w:r>
              <w:rPr>
                <w:rFonts w:hint="eastAsia" w:ascii="宋体" w:hAnsi="宋体" w:cs="宋体"/>
                <w:color w:val="000000"/>
                <w:spacing w:val="-11"/>
                <w:kern w:val="0"/>
                <w:sz w:val="18"/>
                <w:szCs w:val="18"/>
              </w:rPr>
              <w:t>2、资产有偿使用、处置按规定程序审批。</w:t>
            </w:r>
          </w:p>
          <w:p>
            <w:pPr>
              <w:widowControl/>
              <w:spacing w:line="230" w:lineRule="exact"/>
              <w:jc w:val="left"/>
              <w:textAlignment w:val="center"/>
              <w:rPr>
                <w:rFonts w:ascii="宋体" w:hAnsi="宋体" w:cs="宋体"/>
                <w:color w:val="000000"/>
                <w:sz w:val="18"/>
                <w:szCs w:val="18"/>
              </w:rPr>
            </w:pPr>
            <w:r>
              <w:rPr>
                <w:rFonts w:hint="eastAsia" w:ascii="宋体" w:hAnsi="宋体" w:cs="宋体"/>
                <w:color w:val="000000"/>
                <w:spacing w:val="-11"/>
                <w:kern w:val="0"/>
                <w:sz w:val="18"/>
                <w:szCs w:val="18"/>
              </w:rPr>
              <w:t>3、资产收益及时、足额上缴财务。</w:t>
            </w:r>
          </w:p>
        </w:tc>
        <w:tc>
          <w:tcPr>
            <w:tcW w:w="1908"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全部符合5分，有1项不符扣2分，扣完为止。</w:t>
            </w:r>
          </w:p>
        </w:tc>
        <w:tc>
          <w:tcPr>
            <w:tcW w:w="6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3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3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850"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82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9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39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预算管理（15分）</w:t>
            </w:r>
          </w:p>
        </w:tc>
        <w:tc>
          <w:tcPr>
            <w:tcW w:w="4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资金使用合规性（5分）</w:t>
            </w:r>
          </w:p>
        </w:tc>
        <w:tc>
          <w:tcPr>
            <w:tcW w:w="2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13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部门（单位）使用预算资金是否符合相关的预算财务管理制度的规定，用以反映和考核部门（单位）预算资金的规范运行情况。</w:t>
            </w:r>
          </w:p>
          <w:p>
            <w:pPr>
              <w:widowControl/>
              <w:spacing w:line="23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1、符合国家财经法规和财务管理制度规定以及有关专项资金管理办法的规定；</w:t>
            </w:r>
          </w:p>
          <w:p>
            <w:pPr>
              <w:widowControl/>
              <w:spacing w:line="23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2、资金的拨付有完整的审批程序和手续；</w:t>
            </w:r>
          </w:p>
          <w:p>
            <w:pPr>
              <w:widowControl/>
              <w:spacing w:line="23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3、重大项目开支经过评估论证；</w:t>
            </w:r>
          </w:p>
          <w:p>
            <w:pPr>
              <w:widowControl/>
              <w:spacing w:line="23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4、符合部门预算批复的用途；</w:t>
            </w:r>
          </w:p>
          <w:p>
            <w:pPr>
              <w:widowControl/>
              <w:spacing w:line="23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5、不存在截留、挤占、挪用、虚列支出等情况。</w:t>
            </w:r>
          </w:p>
        </w:tc>
        <w:tc>
          <w:tcPr>
            <w:tcW w:w="1908"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全部符合5分，有1项不符扣2分。</w:t>
            </w:r>
          </w:p>
        </w:tc>
        <w:tc>
          <w:tcPr>
            <w:tcW w:w="6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rPr>
                <w:rFonts w:ascii="宋体" w:hAnsi="宋体" w:cs="宋体"/>
                <w:color w:val="000000"/>
                <w:sz w:val="18"/>
                <w:szCs w:val="18"/>
              </w:rPr>
            </w:pPr>
          </w:p>
        </w:tc>
        <w:tc>
          <w:tcPr>
            <w:tcW w:w="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rPr>
                <w:rFonts w:ascii="宋体" w:hAnsi="宋体" w:cs="宋体"/>
                <w:color w:val="000000"/>
                <w:sz w:val="18"/>
                <w:szCs w:val="18"/>
              </w:rPr>
            </w:pPr>
          </w:p>
        </w:tc>
        <w:tc>
          <w:tcPr>
            <w:tcW w:w="3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rPr>
                <w:rFonts w:ascii="宋体" w:hAnsi="宋体" w:cs="宋体"/>
                <w:color w:val="000000"/>
                <w:sz w:val="18"/>
                <w:szCs w:val="18"/>
              </w:rPr>
            </w:pPr>
          </w:p>
        </w:tc>
        <w:tc>
          <w:tcPr>
            <w:tcW w:w="3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rPr>
                <w:rFonts w:ascii="宋体" w:hAnsi="宋体" w:cs="宋体"/>
                <w:color w:val="000000"/>
                <w:sz w:val="18"/>
                <w:szCs w:val="18"/>
              </w:rPr>
            </w:pPr>
          </w:p>
        </w:tc>
        <w:tc>
          <w:tcPr>
            <w:tcW w:w="850"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rPr>
                <w:rFonts w:ascii="宋体" w:hAnsi="宋体" w:cs="宋体"/>
                <w:color w:val="000000"/>
                <w:sz w:val="18"/>
                <w:szCs w:val="18"/>
              </w:rPr>
            </w:pPr>
          </w:p>
        </w:tc>
        <w:tc>
          <w:tcPr>
            <w:tcW w:w="82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rPr>
                <w:rFonts w:ascii="宋体" w:hAnsi="宋体" w:cs="宋体"/>
                <w:color w:val="000000"/>
                <w:sz w:val="18"/>
                <w:szCs w:val="18"/>
              </w:rPr>
            </w:pPr>
          </w:p>
        </w:tc>
      </w:tr>
      <w:tr>
        <w:tblPrEx>
          <w:tblCellMar>
            <w:top w:w="0" w:type="dxa"/>
            <w:left w:w="0" w:type="dxa"/>
            <w:bottom w:w="0" w:type="dxa"/>
            <w:right w:w="0" w:type="dxa"/>
          </w:tblCellMar>
        </w:tblPrEx>
        <w:trPr>
          <w:trHeight w:val="1083" w:hRule="atLeast"/>
        </w:trPr>
        <w:tc>
          <w:tcPr>
            <w:tcW w:w="29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效果</w:t>
            </w:r>
          </w:p>
        </w:tc>
        <w:tc>
          <w:tcPr>
            <w:tcW w:w="392"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履职尽职（60分）</w:t>
            </w:r>
          </w:p>
        </w:tc>
        <w:tc>
          <w:tcPr>
            <w:tcW w:w="4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项目产出（40分）</w:t>
            </w:r>
          </w:p>
        </w:tc>
        <w:tc>
          <w:tcPr>
            <w:tcW w:w="2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213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left"/>
              <w:rPr>
                <w:rFonts w:ascii="宋体" w:hAnsi="宋体" w:cs="宋体"/>
                <w:color w:val="000000"/>
                <w:sz w:val="18"/>
                <w:szCs w:val="18"/>
              </w:rPr>
            </w:pPr>
          </w:p>
        </w:tc>
        <w:tc>
          <w:tcPr>
            <w:tcW w:w="1908" w:type="dxa"/>
            <w:gridSpan w:val="3"/>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1、若为定性指标，根据“三档”原则分别按照指标分值的100-80%（含）、80-50%（含）、50-10%来记分；</w:t>
            </w:r>
          </w:p>
          <w:p>
            <w:pPr>
              <w:widowControl/>
              <w:spacing w:line="23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2、若为定量指标，完成值达到指标值，记满分；未达到指标值，按完成比率计分，正向指标（即指标值为≥*）得分＝实际完成值/年初目标值*该指标分值，反向指标（即指标值为≤*）得分＝年初目标值/实际完成值*该指标分值。</w:t>
            </w:r>
          </w:p>
        </w:tc>
        <w:tc>
          <w:tcPr>
            <w:tcW w:w="6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rPr>
                <w:rFonts w:ascii="宋体" w:hAnsi="宋体" w:cs="宋体"/>
                <w:color w:val="000000"/>
                <w:sz w:val="18"/>
                <w:szCs w:val="18"/>
              </w:rPr>
            </w:pPr>
          </w:p>
        </w:tc>
        <w:tc>
          <w:tcPr>
            <w:tcW w:w="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rPr>
                <w:rFonts w:ascii="宋体" w:hAnsi="宋体" w:cs="宋体"/>
                <w:color w:val="000000"/>
                <w:sz w:val="18"/>
                <w:szCs w:val="18"/>
              </w:rPr>
            </w:pPr>
          </w:p>
        </w:tc>
        <w:tc>
          <w:tcPr>
            <w:tcW w:w="3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rPr>
                <w:rFonts w:ascii="宋体" w:hAnsi="宋体" w:cs="宋体"/>
                <w:color w:val="000000"/>
                <w:sz w:val="18"/>
                <w:szCs w:val="18"/>
              </w:rPr>
            </w:pPr>
          </w:p>
        </w:tc>
        <w:tc>
          <w:tcPr>
            <w:tcW w:w="3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rPr>
                <w:rFonts w:ascii="宋体" w:hAnsi="宋体" w:cs="宋体"/>
                <w:color w:val="000000"/>
                <w:sz w:val="18"/>
                <w:szCs w:val="18"/>
              </w:rPr>
            </w:pPr>
          </w:p>
        </w:tc>
        <w:tc>
          <w:tcPr>
            <w:tcW w:w="850"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rPr>
                <w:rFonts w:ascii="宋体" w:hAnsi="宋体" w:cs="宋体"/>
                <w:color w:val="000000"/>
                <w:sz w:val="18"/>
                <w:szCs w:val="18"/>
              </w:rPr>
            </w:pPr>
          </w:p>
        </w:tc>
        <w:tc>
          <w:tcPr>
            <w:tcW w:w="82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rPr>
                <w:rFonts w:ascii="宋体" w:hAnsi="宋体" w:cs="宋体"/>
                <w:color w:val="000000"/>
                <w:sz w:val="18"/>
                <w:szCs w:val="18"/>
              </w:rPr>
            </w:pPr>
          </w:p>
        </w:tc>
      </w:tr>
      <w:tr>
        <w:tblPrEx>
          <w:tblCellMar>
            <w:top w:w="0" w:type="dxa"/>
            <w:left w:w="0" w:type="dxa"/>
            <w:bottom w:w="0" w:type="dxa"/>
            <w:right w:w="0" w:type="dxa"/>
          </w:tblCellMar>
        </w:tblPrEx>
        <w:trPr>
          <w:trHeight w:val="2508" w:hRule="atLeast"/>
        </w:trPr>
        <w:tc>
          <w:tcPr>
            <w:tcW w:w="29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392"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rPr>
                <w:rFonts w:ascii="宋体" w:hAnsi="宋体" w:cs="宋体"/>
                <w:color w:val="000000"/>
                <w:sz w:val="18"/>
                <w:szCs w:val="18"/>
              </w:rPr>
            </w:pPr>
          </w:p>
        </w:tc>
        <w:tc>
          <w:tcPr>
            <w:tcW w:w="4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项目效益（20分）</w:t>
            </w:r>
          </w:p>
        </w:tc>
        <w:tc>
          <w:tcPr>
            <w:tcW w:w="2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213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left"/>
              <w:rPr>
                <w:rFonts w:ascii="宋体" w:hAnsi="宋体" w:cs="宋体"/>
                <w:color w:val="000000"/>
                <w:sz w:val="18"/>
                <w:szCs w:val="18"/>
              </w:rPr>
            </w:pPr>
          </w:p>
        </w:tc>
        <w:tc>
          <w:tcPr>
            <w:tcW w:w="1908"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left"/>
              <w:rPr>
                <w:rFonts w:ascii="宋体" w:hAnsi="宋体" w:cs="宋体"/>
                <w:color w:val="000000"/>
                <w:sz w:val="18"/>
                <w:szCs w:val="18"/>
              </w:rPr>
            </w:pPr>
          </w:p>
        </w:tc>
        <w:tc>
          <w:tcPr>
            <w:tcW w:w="6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rPr>
                <w:rFonts w:ascii="宋体" w:hAnsi="宋体" w:cs="宋体"/>
                <w:color w:val="000000"/>
                <w:sz w:val="18"/>
                <w:szCs w:val="18"/>
              </w:rPr>
            </w:pPr>
          </w:p>
        </w:tc>
        <w:tc>
          <w:tcPr>
            <w:tcW w:w="3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rPr>
                <w:rFonts w:ascii="宋体" w:hAnsi="宋体" w:cs="宋体"/>
                <w:color w:val="000000"/>
                <w:sz w:val="18"/>
                <w:szCs w:val="18"/>
              </w:rPr>
            </w:pPr>
          </w:p>
        </w:tc>
        <w:tc>
          <w:tcPr>
            <w:tcW w:w="3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rPr>
                <w:rFonts w:ascii="宋体" w:hAnsi="宋体" w:cs="宋体"/>
                <w:color w:val="000000"/>
                <w:sz w:val="18"/>
                <w:szCs w:val="18"/>
              </w:rPr>
            </w:pPr>
          </w:p>
        </w:tc>
        <w:tc>
          <w:tcPr>
            <w:tcW w:w="34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rPr>
                <w:rFonts w:ascii="宋体" w:hAnsi="宋体" w:cs="宋体"/>
                <w:color w:val="000000"/>
                <w:sz w:val="18"/>
                <w:szCs w:val="18"/>
              </w:rPr>
            </w:pPr>
          </w:p>
        </w:tc>
        <w:tc>
          <w:tcPr>
            <w:tcW w:w="850"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rPr>
                <w:rFonts w:ascii="宋体" w:hAnsi="宋体" w:cs="宋体"/>
                <w:color w:val="000000"/>
                <w:sz w:val="18"/>
                <w:szCs w:val="18"/>
              </w:rPr>
            </w:pPr>
          </w:p>
        </w:tc>
        <w:tc>
          <w:tcPr>
            <w:tcW w:w="82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8840" w:type="dxa"/>
            <w:gridSpan w:val="20"/>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备注：</w:t>
            </w:r>
          </w:p>
          <w:p>
            <w:pPr>
              <w:widowControl/>
              <w:spacing w:line="23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1、“项目产出”和“项目效果”直接细化成部门年初绩效目标中的指标，并根据重要程度赋权。</w:t>
            </w:r>
          </w:p>
          <w:p>
            <w:pPr>
              <w:widowControl/>
              <w:spacing w:line="23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2、“绩效指标分析”是指参考历史数据、行业标准及绩效目标实际完成情况等相关资料，从“是否与项目密切相关，指标值是否可获取，指标值设置是否合理”等角度，从产出和效果类指标中找出需要改进的指标，并逐项提出次年的编制意见和建议。</w:t>
            </w:r>
          </w:p>
        </w:tc>
      </w:tr>
    </w:tbl>
    <w:p>
      <w:pPr>
        <w:ind w:firstLine="964" w:firstLineChars="300"/>
        <w:rPr>
          <w:rFonts w:ascii="楷体" w:hAnsi="楷体" w:eastAsia="楷体" w:cs="楷体"/>
          <w:b/>
          <w:bCs/>
          <w:sz w:val="32"/>
          <w:szCs w:val="40"/>
        </w:rPr>
      </w:pPr>
    </w:p>
    <w:p>
      <w:pPr>
        <w:ind w:firstLine="964" w:firstLineChars="300"/>
        <w:rPr>
          <w:rFonts w:ascii="楷体" w:hAnsi="楷体" w:eastAsia="楷体" w:cs="楷体"/>
          <w:b/>
          <w:bCs/>
          <w:sz w:val="32"/>
          <w:szCs w:val="40"/>
        </w:rPr>
      </w:pPr>
    </w:p>
    <w:p>
      <w:pPr>
        <w:widowControl/>
        <w:numPr>
          <w:ilvl w:val="0"/>
          <w:numId w:val="4"/>
        </w:numPr>
        <w:ind w:firstLine="640" w:firstLineChars="200"/>
        <w:jc w:val="center"/>
        <w:rPr>
          <w:rFonts w:ascii="黑体" w:hAnsi="黑体" w:eastAsia="黑体" w:cs="黑体"/>
          <w:bCs/>
          <w:kern w:val="0"/>
          <w:sz w:val="32"/>
          <w:szCs w:val="32"/>
        </w:rPr>
      </w:pPr>
      <w:r>
        <w:rPr>
          <w:rFonts w:hint="eastAsia" w:ascii="黑体" w:hAnsi="黑体" w:eastAsia="黑体" w:cs="黑体"/>
          <w:bCs/>
          <w:kern w:val="0"/>
          <w:sz w:val="32"/>
          <w:szCs w:val="32"/>
        </w:rPr>
        <w:t>专业名词解释</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1、基本支出：指为保障机构正常运转、完成日常工作任务而发生的各项支出。</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2、项目支出：指单位为完成特定的行政工作任务或事业发展目标所发生的各项支出。</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3、“三公”经费：指部门使用一般公共预算财政拨款安排的因公出国（境）费、公务用车购置及运行费和公务接待费支出。</w:t>
      </w:r>
    </w:p>
    <w:p>
      <w:pPr>
        <w:spacing w:line="60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、机关运行经费：指行政单位和参照公务员法管理的事业单位使用一般公共预算财政拨款支出的日常公用经费。</w:t>
      </w:r>
    </w:p>
    <w:p>
      <w:pPr>
        <w:widowControl/>
        <w:ind w:firstLine="640" w:firstLineChars="200"/>
        <w:rPr>
          <w:rFonts w:ascii="仿宋_GB2312" w:hAnsi="仿宋_GB2312" w:eastAsia="仿宋_GB2312" w:cs="仿宋_GB2312"/>
          <w:kern w:val="0"/>
          <w:sz w:val="32"/>
          <w:szCs w:val="32"/>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3"/>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- 17 -</w:t>
                </w:r>
                <w:r>
                  <w:rPr>
                    <w:rFonts w:hint="eastAsia"/>
                    <w:sz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D80C8"/>
    <w:multiLevelType w:val="singleLevel"/>
    <w:tmpl w:val="8ECD80C8"/>
    <w:lvl w:ilvl="0" w:tentative="0">
      <w:start w:val="2"/>
      <w:numFmt w:val="chineseCounting"/>
      <w:suff w:val="space"/>
      <w:lvlText w:val="第%1部分"/>
      <w:lvlJc w:val="left"/>
      <w:rPr>
        <w:rFonts w:hint="eastAsia"/>
      </w:rPr>
    </w:lvl>
  </w:abstractNum>
  <w:abstractNum w:abstractNumId="1">
    <w:nsid w:val="B128EE28"/>
    <w:multiLevelType w:val="singleLevel"/>
    <w:tmpl w:val="B128EE28"/>
    <w:lvl w:ilvl="0" w:tentative="0">
      <w:start w:val="2"/>
      <w:numFmt w:val="chineseCounting"/>
      <w:suff w:val="nothing"/>
      <w:lvlText w:val="%1、"/>
      <w:lvlJc w:val="left"/>
      <w:rPr>
        <w:rFonts w:hint="eastAsia"/>
      </w:rPr>
    </w:lvl>
  </w:abstractNum>
  <w:abstractNum w:abstractNumId="2">
    <w:nsid w:val="CDB4A7C7"/>
    <w:multiLevelType w:val="singleLevel"/>
    <w:tmpl w:val="CDB4A7C7"/>
    <w:lvl w:ilvl="0" w:tentative="0">
      <w:start w:val="13"/>
      <w:numFmt w:val="chineseCounting"/>
      <w:suff w:val="nothing"/>
      <w:lvlText w:val="%1、"/>
      <w:lvlJc w:val="left"/>
      <w:rPr>
        <w:rFonts w:hint="eastAsia"/>
      </w:rPr>
    </w:lvl>
  </w:abstractNum>
  <w:abstractNum w:abstractNumId="3">
    <w:nsid w:val="42186A6F"/>
    <w:multiLevelType w:val="singleLevel"/>
    <w:tmpl w:val="42186A6F"/>
    <w:lvl w:ilvl="0" w:tentative="0">
      <w:start w:val="4"/>
      <w:numFmt w:val="chineseCounting"/>
      <w:suff w:val="space"/>
      <w:lvlText w:val="第%1部分"/>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kzNzU0YTk3NDgwYjBlNmUwZGRhMGQyYjYxYmE3ZWEifQ=="/>
  </w:docVars>
  <w:rsids>
    <w:rsidRoot w:val="00172A27"/>
    <w:rsid w:val="00041EA6"/>
    <w:rsid w:val="000978E7"/>
    <w:rsid w:val="000C598C"/>
    <w:rsid w:val="000D0687"/>
    <w:rsid w:val="00115618"/>
    <w:rsid w:val="001507EA"/>
    <w:rsid w:val="00172A27"/>
    <w:rsid w:val="00195642"/>
    <w:rsid w:val="002258E4"/>
    <w:rsid w:val="00246B69"/>
    <w:rsid w:val="00292D02"/>
    <w:rsid w:val="0038162C"/>
    <w:rsid w:val="003E315E"/>
    <w:rsid w:val="00410337"/>
    <w:rsid w:val="005174AC"/>
    <w:rsid w:val="00575C29"/>
    <w:rsid w:val="005F7598"/>
    <w:rsid w:val="007460F8"/>
    <w:rsid w:val="00783155"/>
    <w:rsid w:val="00863CAD"/>
    <w:rsid w:val="00942109"/>
    <w:rsid w:val="009A344F"/>
    <w:rsid w:val="009B452A"/>
    <w:rsid w:val="009E6E4C"/>
    <w:rsid w:val="00AE6567"/>
    <w:rsid w:val="00B960C8"/>
    <w:rsid w:val="00BA5169"/>
    <w:rsid w:val="00BB4583"/>
    <w:rsid w:val="00BC7AFB"/>
    <w:rsid w:val="00C35E7B"/>
    <w:rsid w:val="00CE5FC1"/>
    <w:rsid w:val="00E422F9"/>
    <w:rsid w:val="00E442BE"/>
    <w:rsid w:val="00E71342"/>
    <w:rsid w:val="00F34D56"/>
    <w:rsid w:val="00F40983"/>
    <w:rsid w:val="00F63A62"/>
    <w:rsid w:val="00F72879"/>
    <w:rsid w:val="00F82DE8"/>
    <w:rsid w:val="00FC336B"/>
    <w:rsid w:val="00FE5146"/>
    <w:rsid w:val="00FE7CEA"/>
    <w:rsid w:val="00FF7DDD"/>
    <w:rsid w:val="01066A48"/>
    <w:rsid w:val="01257DDA"/>
    <w:rsid w:val="017F49BE"/>
    <w:rsid w:val="019127B6"/>
    <w:rsid w:val="01B34E22"/>
    <w:rsid w:val="02420DBF"/>
    <w:rsid w:val="02510197"/>
    <w:rsid w:val="02CD757C"/>
    <w:rsid w:val="03016458"/>
    <w:rsid w:val="036B7A2F"/>
    <w:rsid w:val="03F23405"/>
    <w:rsid w:val="046063D3"/>
    <w:rsid w:val="04820ADC"/>
    <w:rsid w:val="04DC2960"/>
    <w:rsid w:val="04F75026"/>
    <w:rsid w:val="05194C10"/>
    <w:rsid w:val="052A53FB"/>
    <w:rsid w:val="05674A17"/>
    <w:rsid w:val="05940AC6"/>
    <w:rsid w:val="05CD1092"/>
    <w:rsid w:val="05EF122C"/>
    <w:rsid w:val="062260D2"/>
    <w:rsid w:val="068F1F19"/>
    <w:rsid w:val="075C5614"/>
    <w:rsid w:val="07A174CB"/>
    <w:rsid w:val="07B44696"/>
    <w:rsid w:val="086D1B6C"/>
    <w:rsid w:val="086F56BE"/>
    <w:rsid w:val="08815682"/>
    <w:rsid w:val="090B2132"/>
    <w:rsid w:val="09187C60"/>
    <w:rsid w:val="095D5956"/>
    <w:rsid w:val="097A7FD3"/>
    <w:rsid w:val="09BE11B4"/>
    <w:rsid w:val="0A025689"/>
    <w:rsid w:val="0A247ED7"/>
    <w:rsid w:val="0A3A003E"/>
    <w:rsid w:val="0A431D19"/>
    <w:rsid w:val="0A791381"/>
    <w:rsid w:val="0A9072B7"/>
    <w:rsid w:val="0AAC240E"/>
    <w:rsid w:val="0B5A4560"/>
    <w:rsid w:val="0B7D3DAB"/>
    <w:rsid w:val="0B823BCE"/>
    <w:rsid w:val="0BA53A2D"/>
    <w:rsid w:val="0BF3277C"/>
    <w:rsid w:val="0CA044D6"/>
    <w:rsid w:val="0CB832EC"/>
    <w:rsid w:val="0CC94826"/>
    <w:rsid w:val="0D0E67D9"/>
    <w:rsid w:val="0D166265"/>
    <w:rsid w:val="0D244E26"/>
    <w:rsid w:val="0D321C3F"/>
    <w:rsid w:val="0D870F11"/>
    <w:rsid w:val="0E682C65"/>
    <w:rsid w:val="0E8A54E0"/>
    <w:rsid w:val="0EE02FCE"/>
    <w:rsid w:val="0F1A694A"/>
    <w:rsid w:val="0F2A3388"/>
    <w:rsid w:val="0FAD2CAA"/>
    <w:rsid w:val="10342128"/>
    <w:rsid w:val="104D01F0"/>
    <w:rsid w:val="104E6D46"/>
    <w:rsid w:val="105772C0"/>
    <w:rsid w:val="10814651"/>
    <w:rsid w:val="10A06571"/>
    <w:rsid w:val="112957E7"/>
    <w:rsid w:val="1146606A"/>
    <w:rsid w:val="11B4155D"/>
    <w:rsid w:val="120D1325"/>
    <w:rsid w:val="123A47A4"/>
    <w:rsid w:val="12824D51"/>
    <w:rsid w:val="128819B3"/>
    <w:rsid w:val="12C765D0"/>
    <w:rsid w:val="12E94936"/>
    <w:rsid w:val="130C4392"/>
    <w:rsid w:val="136B5C3A"/>
    <w:rsid w:val="136D4B39"/>
    <w:rsid w:val="13BD4750"/>
    <w:rsid w:val="13F76DF0"/>
    <w:rsid w:val="13FA068E"/>
    <w:rsid w:val="142C7704"/>
    <w:rsid w:val="1444190A"/>
    <w:rsid w:val="14AB7CFC"/>
    <w:rsid w:val="152A4FA3"/>
    <w:rsid w:val="15520056"/>
    <w:rsid w:val="15B65B5B"/>
    <w:rsid w:val="15DA0777"/>
    <w:rsid w:val="16353C00"/>
    <w:rsid w:val="165740FB"/>
    <w:rsid w:val="168F118A"/>
    <w:rsid w:val="169D4B82"/>
    <w:rsid w:val="169F1133"/>
    <w:rsid w:val="16CE195E"/>
    <w:rsid w:val="16DF3B6C"/>
    <w:rsid w:val="177B7D38"/>
    <w:rsid w:val="17922577"/>
    <w:rsid w:val="17A84954"/>
    <w:rsid w:val="180E0310"/>
    <w:rsid w:val="180F5D63"/>
    <w:rsid w:val="18CD0120"/>
    <w:rsid w:val="1A2E2474"/>
    <w:rsid w:val="1A587EBD"/>
    <w:rsid w:val="1A7B096E"/>
    <w:rsid w:val="1AC800C5"/>
    <w:rsid w:val="1AF1658B"/>
    <w:rsid w:val="1B5C77AB"/>
    <w:rsid w:val="1B701D7A"/>
    <w:rsid w:val="1B7404EB"/>
    <w:rsid w:val="1C205BB0"/>
    <w:rsid w:val="1C674213"/>
    <w:rsid w:val="1D1E569E"/>
    <w:rsid w:val="1D7726D3"/>
    <w:rsid w:val="1DD97567"/>
    <w:rsid w:val="1E3B51E6"/>
    <w:rsid w:val="1E7A4F87"/>
    <w:rsid w:val="1EA01E32"/>
    <w:rsid w:val="1EBC7BD5"/>
    <w:rsid w:val="1EDD6BE3"/>
    <w:rsid w:val="1F5844BB"/>
    <w:rsid w:val="1F8F4C45"/>
    <w:rsid w:val="1FCF29CF"/>
    <w:rsid w:val="1FD816FC"/>
    <w:rsid w:val="20032679"/>
    <w:rsid w:val="200F101E"/>
    <w:rsid w:val="206969D3"/>
    <w:rsid w:val="210D3667"/>
    <w:rsid w:val="21535882"/>
    <w:rsid w:val="219F2875"/>
    <w:rsid w:val="21A97250"/>
    <w:rsid w:val="21C63505"/>
    <w:rsid w:val="21D35583"/>
    <w:rsid w:val="225C661C"/>
    <w:rsid w:val="22A36211"/>
    <w:rsid w:val="22AD4B1E"/>
    <w:rsid w:val="22BE676D"/>
    <w:rsid w:val="2322484B"/>
    <w:rsid w:val="23492A98"/>
    <w:rsid w:val="234F15B7"/>
    <w:rsid w:val="235169A2"/>
    <w:rsid w:val="237C10C0"/>
    <w:rsid w:val="23F44E0F"/>
    <w:rsid w:val="241C374F"/>
    <w:rsid w:val="24695C48"/>
    <w:rsid w:val="25235262"/>
    <w:rsid w:val="25BC7462"/>
    <w:rsid w:val="26372509"/>
    <w:rsid w:val="263B7010"/>
    <w:rsid w:val="26406DE6"/>
    <w:rsid w:val="26647BE9"/>
    <w:rsid w:val="2669541C"/>
    <w:rsid w:val="26D44D6F"/>
    <w:rsid w:val="26E36D60"/>
    <w:rsid w:val="2752567D"/>
    <w:rsid w:val="279D5FD1"/>
    <w:rsid w:val="27AD77C0"/>
    <w:rsid w:val="27F8683B"/>
    <w:rsid w:val="287966F2"/>
    <w:rsid w:val="287C1D82"/>
    <w:rsid w:val="28B644AC"/>
    <w:rsid w:val="28C5118C"/>
    <w:rsid w:val="28C8445F"/>
    <w:rsid w:val="28E55011"/>
    <w:rsid w:val="293F2663"/>
    <w:rsid w:val="29400A9D"/>
    <w:rsid w:val="294C6E3F"/>
    <w:rsid w:val="296C55EC"/>
    <w:rsid w:val="298D1A32"/>
    <w:rsid w:val="298E05F6"/>
    <w:rsid w:val="2A281CCA"/>
    <w:rsid w:val="2AD92954"/>
    <w:rsid w:val="2B8C0131"/>
    <w:rsid w:val="2BA11B42"/>
    <w:rsid w:val="2BAD31A0"/>
    <w:rsid w:val="2BF10171"/>
    <w:rsid w:val="2C6A3C86"/>
    <w:rsid w:val="2CB72498"/>
    <w:rsid w:val="2D1759B5"/>
    <w:rsid w:val="2D19039A"/>
    <w:rsid w:val="2D4505BF"/>
    <w:rsid w:val="2D5E3253"/>
    <w:rsid w:val="2D817A49"/>
    <w:rsid w:val="2D844526"/>
    <w:rsid w:val="2DEE0948"/>
    <w:rsid w:val="2DF126AA"/>
    <w:rsid w:val="2E5270F9"/>
    <w:rsid w:val="2E556795"/>
    <w:rsid w:val="2EAE5EA6"/>
    <w:rsid w:val="2EE74707"/>
    <w:rsid w:val="2FBC2844"/>
    <w:rsid w:val="302C5C1C"/>
    <w:rsid w:val="306B6744"/>
    <w:rsid w:val="30714421"/>
    <w:rsid w:val="3075429F"/>
    <w:rsid w:val="30C10112"/>
    <w:rsid w:val="31304251"/>
    <w:rsid w:val="31A3571E"/>
    <w:rsid w:val="31B17087"/>
    <w:rsid w:val="31EF0CAF"/>
    <w:rsid w:val="3216116C"/>
    <w:rsid w:val="321839F7"/>
    <w:rsid w:val="327C2D0E"/>
    <w:rsid w:val="331502A5"/>
    <w:rsid w:val="33225487"/>
    <w:rsid w:val="332D2F86"/>
    <w:rsid w:val="3341553A"/>
    <w:rsid w:val="33C65A3F"/>
    <w:rsid w:val="342A1FED"/>
    <w:rsid w:val="344057F2"/>
    <w:rsid w:val="34627E5E"/>
    <w:rsid w:val="347F164B"/>
    <w:rsid w:val="34FC47C0"/>
    <w:rsid w:val="34FE7347"/>
    <w:rsid w:val="35216FE2"/>
    <w:rsid w:val="354607EC"/>
    <w:rsid w:val="35585D62"/>
    <w:rsid w:val="35831E3A"/>
    <w:rsid w:val="35CB0616"/>
    <w:rsid w:val="35CF507F"/>
    <w:rsid w:val="362A5F7B"/>
    <w:rsid w:val="364F0CCA"/>
    <w:rsid w:val="365423FD"/>
    <w:rsid w:val="36D3294D"/>
    <w:rsid w:val="36E961AB"/>
    <w:rsid w:val="37141057"/>
    <w:rsid w:val="372877DA"/>
    <w:rsid w:val="37991DE9"/>
    <w:rsid w:val="37D52967"/>
    <w:rsid w:val="385801D3"/>
    <w:rsid w:val="38A2670A"/>
    <w:rsid w:val="38BE488D"/>
    <w:rsid w:val="38CC1D69"/>
    <w:rsid w:val="38CC3AF8"/>
    <w:rsid w:val="39340D74"/>
    <w:rsid w:val="39917B52"/>
    <w:rsid w:val="39A77CB4"/>
    <w:rsid w:val="39E43D28"/>
    <w:rsid w:val="3A2F7DC8"/>
    <w:rsid w:val="3A34761E"/>
    <w:rsid w:val="3A35161F"/>
    <w:rsid w:val="3A682C70"/>
    <w:rsid w:val="3A70356C"/>
    <w:rsid w:val="3ADB2718"/>
    <w:rsid w:val="3B85226F"/>
    <w:rsid w:val="3BB07E84"/>
    <w:rsid w:val="3C526A0A"/>
    <w:rsid w:val="3CD70179"/>
    <w:rsid w:val="3CE84C78"/>
    <w:rsid w:val="3D9077EA"/>
    <w:rsid w:val="3DD235BF"/>
    <w:rsid w:val="3DD24991"/>
    <w:rsid w:val="3DE2418D"/>
    <w:rsid w:val="3E4660FB"/>
    <w:rsid w:val="3EC443CD"/>
    <w:rsid w:val="3ED20604"/>
    <w:rsid w:val="3F111687"/>
    <w:rsid w:val="3F1F3312"/>
    <w:rsid w:val="3F320B3A"/>
    <w:rsid w:val="3F5256A8"/>
    <w:rsid w:val="3F5605BF"/>
    <w:rsid w:val="3F760BD6"/>
    <w:rsid w:val="3FB407E0"/>
    <w:rsid w:val="3FD558B7"/>
    <w:rsid w:val="3FF24A11"/>
    <w:rsid w:val="40173DBC"/>
    <w:rsid w:val="405170A3"/>
    <w:rsid w:val="415249EA"/>
    <w:rsid w:val="41564E27"/>
    <w:rsid w:val="416C5E41"/>
    <w:rsid w:val="4182744A"/>
    <w:rsid w:val="41A129A6"/>
    <w:rsid w:val="41DE6D8F"/>
    <w:rsid w:val="425902B9"/>
    <w:rsid w:val="42D77C69"/>
    <w:rsid w:val="43026447"/>
    <w:rsid w:val="43436BF1"/>
    <w:rsid w:val="435C3CCA"/>
    <w:rsid w:val="43A54067"/>
    <w:rsid w:val="43AE720D"/>
    <w:rsid w:val="43C91D40"/>
    <w:rsid w:val="44185071"/>
    <w:rsid w:val="443E2B82"/>
    <w:rsid w:val="446A77C7"/>
    <w:rsid w:val="44D73F50"/>
    <w:rsid w:val="458F374A"/>
    <w:rsid w:val="464078D3"/>
    <w:rsid w:val="465951C3"/>
    <w:rsid w:val="46A4431F"/>
    <w:rsid w:val="46B207D1"/>
    <w:rsid w:val="46C95B1B"/>
    <w:rsid w:val="46D36C9E"/>
    <w:rsid w:val="46F522FD"/>
    <w:rsid w:val="470B1C8F"/>
    <w:rsid w:val="47133199"/>
    <w:rsid w:val="472D2B52"/>
    <w:rsid w:val="47532640"/>
    <w:rsid w:val="47574ED5"/>
    <w:rsid w:val="475A6773"/>
    <w:rsid w:val="47794E4B"/>
    <w:rsid w:val="48612B46"/>
    <w:rsid w:val="49255A89"/>
    <w:rsid w:val="49297D2D"/>
    <w:rsid w:val="493F2FF6"/>
    <w:rsid w:val="49A34401"/>
    <w:rsid w:val="49CA5E32"/>
    <w:rsid w:val="49DC6E3E"/>
    <w:rsid w:val="4A45604E"/>
    <w:rsid w:val="4AE445A0"/>
    <w:rsid w:val="4AE750EB"/>
    <w:rsid w:val="4B9B7E24"/>
    <w:rsid w:val="4BA51E49"/>
    <w:rsid w:val="4C0F5D7E"/>
    <w:rsid w:val="4C2110A0"/>
    <w:rsid w:val="4C286E40"/>
    <w:rsid w:val="4C35155C"/>
    <w:rsid w:val="4CA50490"/>
    <w:rsid w:val="4CC163EF"/>
    <w:rsid w:val="4CCC3CC4"/>
    <w:rsid w:val="4CFB09F8"/>
    <w:rsid w:val="4D034DAF"/>
    <w:rsid w:val="4DB1337B"/>
    <w:rsid w:val="4DCB03CA"/>
    <w:rsid w:val="4DD0778F"/>
    <w:rsid w:val="4E015B9A"/>
    <w:rsid w:val="4E2247F7"/>
    <w:rsid w:val="4E741F6B"/>
    <w:rsid w:val="4F0F7597"/>
    <w:rsid w:val="501A4192"/>
    <w:rsid w:val="507B6464"/>
    <w:rsid w:val="508669F0"/>
    <w:rsid w:val="50C57353"/>
    <w:rsid w:val="50E471E1"/>
    <w:rsid w:val="514C73FA"/>
    <w:rsid w:val="51AD74AC"/>
    <w:rsid w:val="51B03FFD"/>
    <w:rsid w:val="52146381"/>
    <w:rsid w:val="525543A4"/>
    <w:rsid w:val="52BB78A7"/>
    <w:rsid w:val="52E57838"/>
    <w:rsid w:val="53513120"/>
    <w:rsid w:val="53AB6CD4"/>
    <w:rsid w:val="53DF7F32"/>
    <w:rsid w:val="54287C6C"/>
    <w:rsid w:val="54791C7A"/>
    <w:rsid w:val="54AB74B6"/>
    <w:rsid w:val="54F71AA5"/>
    <w:rsid w:val="559612BE"/>
    <w:rsid w:val="55AF5A9E"/>
    <w:rsid w:val="55CE7592"/>
    <w:rsid w:val="565537A4"/>
    <w:rsid w:val="565D3B8A"/>
    <w:rsid w:val="566825CC"/>
    <w:rsid w:val="56694C24"/>
    <w:rsid w:val="56731F29"/>
    <w:rsid w:val="56D97CC2"/>
    <w:rsid w:val="56DA342C"/>
    <w:rsid w:val="57382FF1"/>
    <w:rsid w:val="57CB2353"/>
    <w:rsid w:val="57CF7BD0"/>
    <w:rsid w:val="57FD26AC"/>
    <w:rsid w:val="58004757"/>
    <w:rsid w:val="58114390"/>
    <w:rsid w:val="585C34F2"/>
    <w:rsid w:val="585F1E3B"/>
    <w:rsid w:val="586E207E"/>
    <w:rsid w:val="58873140"/>
    <w:rsid w:val="58D72319"/>
    <w:rsid w:val="590A22F2"/>
    <w:rsid w:val="59374137"/>
    <w:rsid w:val="59DA50C6"/>
    <w:rsid w:val="59F91E1B"/>
    <w:rsid w:val="5A146C55"/>
    <w:rsid w:val="5A1C08F6"/>
    <w:rsid w:val="5A930952"/>
    <w:rsid w:val="5AFF2F4D"/>
    <w:rsid w:val="5B411CCC"/>
    <w:rsid w:val="5C190553"/>
    <w:rsid w:val="5C5057B9"/>
    <w:rsid w:val="5D437D2E"/>
    <w:rsid w:val="5D9B58E5"/>
    <w:rsid w:val="5DD40546"/>
    <w:rsid w:val="5DF66D9E"/>
    <w:rsid w:val="5E251431"/>
    <w:rsid w:val="5E605BBD"/>
    <w:rsid w:val="5E6E2DD8"/>
    <w:rsid w:val="5ECA1FD8"/>
    <w:rsid w:val="5ECC743B"/>
    <w:rsid w:val="5F105C3D"/>
    <w:rsid w:val="5F243FFB"/>
    <w:rsid w:val="5FF339BA"/>
    <w:rsid w:val="603B0596"/>
    <w:rsid w:val="60771CEC"/>
    <w:rsid w:val="60A20EF4"/>
    <w:rsid w:val="61745FC1"/>
    <w:rsid w:val="61906697"/>
    <w:rsid w:val="619C1A0A"/>
    <w:rsid w:val="61A84491"/>
    <w:rsid w:val="61D81265"/>
    <w:rsid w:val="61EB4DB4"/>
    <w:rsid w:val="61F70201"/>
    <w:rsid w:val="621903F0"/>
    <w:rsid w:val="625E13B5"/>
    <w:rsid w:val="625E7607"/>
    <w:rsid w:val="62AD1066"/>
    <w:rsid w:val="62E23D94"/>
    <w:rsid w:val="6315416A"/>
    <w:rsid w:val="632834EF"/>
    <w:rsid w:val="635731F6"/>
    <w:rsid w:val="640970FF"/>
    <w:rsid w:val="647C1E48"/>
    <w:rsid w:val="64D86177"/>
    <w:rsid w:val="65293EFC"/>
    <w:rsid w:val="658E1FB1"/>
    <w:rsid w:val="65AB59DB"/>
    <w:rsid w:val="65BD5062"/>
    <w:rsid w:val="65DC556A"/>
    <w:rsid w:val="66261EE3"/>
    <w:rsid w:val="66633175"/>
    <w:rsid w:val="666D0124"/>
    <w:rsid w:val="669D0A5F"/>
    <w:rsid w:val="671B1623"/>
    <w:rsid w:val="671B1725"/>
    <w:rsid w:val="672B02F1"/>
    <w:rsid w:val="676B143B"/>
    <w:rsid w:val="67721974"/>
    <w:rsid w:val="67746F85"/>
    <w:rsid w:val="67DC0A03"/>
    <w:rsid w:val="6901211F"/>
    <w:rsid w:val="69950145"/>
    <w:rsid w:val="69961435"/>
    <w:rsid w:val="6A4E1D0F"/>
    <w:rsid w:val="6B323762"/>
    <w:rsid w:val="6BAC53E8"/>
    <w:rsid w:val="6C007039"/>
    <w:rsid w:val="6DC9627D"/>
    <w:rsid w:val="6E3631E5"/>
    <w:rsid w:val="6EAB14DE"/>
    <w:rsid w:val="6F411E43"/>
    <w:rsid w:val="6F4D43F2"/>
    <w:rsid w:val="6F662168"/>
    <w:rsid w:val="6FCD36D6"/>
    <w:rsid w:val="701B6B38"/>
    <w:rsid w:val="703025E3"/>
    <w:rsid w:val="705C33D8"/>
    <w:rsid w:val="707031E9"/>
    <w:rsid w:val="70AB1939"/>
    <w:rsid w:val="70BD01A6"/>
    <w:rsid w:val="70CE15AA"/>
    <w:rsid w:val="7127008D"/>
    <w:rsid w:val="715776FB"/>
    <w:rsid w:val="716501F1"/>
    <w:rsid w:val="716A7665"/>
    <w:rsid w:val="717B46BE"/>
    <w:rsid w:val="71BC7FA5"/>
    <w:rsid w:val="71E55383"/>
    <w:rsid w:val="725054F3"/>
    <w:rsid w:val="726026CC"/>
    <w:rsid w:val="72944700"/>
    <w:rsid w:val="736B3932"/>
    <w:rsid w:val="738C598F"/>
    <w:rsid w:val="73EC1283"/>
    <w:rsid w:val="740526D8"/>
    <w:rsid w:val="7539539D"/>
    <w:rsid w:val="755F3023"/>
    <w:rsid w:val="756B5E6B"/>
    <w:rsid w:val="758130CB"/>
    <w:rsid w:val="75B30A0C"/>
    <w:rsid w:val="75BE5F9B"/>
    <w:rsid w:val="75C356FC"/>
    <w:rsid w:val="75D2624F"/>
    <w:rsid w:val="763E532E"/>
    <w:rsid w:val="764F4F89"/>
    <w:rsid w:val="76686157"/>
    <w:rsid w:val="76D64F73"/>
    <w:rsid w:val="7714445C"/>
    <w:rsid w:val="771A39E8"/>
    <w:rsid w:val="776C1F07"/>
    <w:rsid w:val="778A1405"/>
    <w:rsid w:val="78530F51"/>
    <w:rsid w:val="787B124F"/>
    <w:rsid w:val="79002D6F"/>
    <w:rsid w:val="79223926"/>
    <w:rsid w:val="797E3F97"/>
    <w:rsid w:val="79D3262E"/>
    <w:rsid w:val="7A0D129F"/>
    <w:rsid w:val="7A3251AA"/>
    <w:rsid w:val="7A6E771C"/>
    <w:rsid w:val="7A797BB3"/>
    <w:rsid w:val="7AA53BCD"/>
    <w:rsid w:val="7AE244DA"/>
    <w:rsid w:val="7B2F0E48"/>
    <w:rsid w:val="7BEF058D"/>
    <w:rsid w:val="7C142D60"/>
    <w:rsid w:val="7C315985"/>
    <w:rsid w:val="7C46787A"/>
    <w:rsid w:val="7C5D1D72"/>
    <w:rsid w:val="7C920E09"/>
    <w:rsid w:val="7D3F23E9"/>
    <w:rsid w:val="7D6C452F"/>
    <w:rsid w:val="7DD345AE"/>
    <w:rsid w:val="7E1959C6"/>
    <w:rsid w:val="7E284BA8"/>
    <w:rsid w:val="7E775881"/>
    <w:rsid w:val="7ECD724F"/>
    <w:rsid w:val="7F5434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1123</Words>
  <Characters>6404</Characters>
  <Lines>53</Lines>
  <Paragraphs>15</Paragraphs>
  <TotalTime>12</TotalTime>
  <ScaleCrop>false</ScaleCrop>
  <LinksUpToDate>false</LinksUpToDate>
  <CharactersWithSpaces>7512</CharactersWithSpaces>
  <Application>WPS Office_11.1.0.11544_F1E327BC-269C-435d-A152-05C5408002CA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2022-10-25T08:00:00Z</dcterms:created>
  <dc:creator>Lenovo</dc:creator>
  <cp:lastModifiedBy>Administrator</cp:lastModifiedBy>
  <cp:lastPrinted>2021-09-24T01:23:00Z</cp:lastPrinted>
  <dcterms:modified xsi:type="dcterms:W3CDTF">2022-11-30T00:50:41Z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2052-11.1.0.11544</vt:lpwstr>
  </property>
  <property fmtid="{D5CDD505-2E9C-101B-9397-08002B2CF9AE}" pid="3" name="ICV">
    <vt:lpwstr>5F751703D4324380B9D59CC7CE846940</vt:lpwstr>
  </property>
</Properties>
</file>