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AB6" w:rsidRDefault="00B47AB6">
      <w:pPr>
        <w:widowControl/>
        <w:spacing w:line="560" w:lineRule="exact"/>
        <w:rPr>
          <w:rFonts w:ascii="仿宋_GB2312" w:eastAsia="仿宋_GB2312" w:hAnsi="仿宋_GB2312" w:cs="仿宋_GB2312"/>
          <w:kern w:val="0"/>
          <w:sz w:val="32"/>
          <w:szCs w:val="32"/>
        </w:rPr>
      </w:pPr>
    </w:p>
    <w:p w:rsidR="00B47AB6" w:rsidRDefault="00B47AB6">
      <w:pPr>
        <w:widowControl/>
        <w:spacing w:line="560" w:lineRule="exact"/>
        <w:rPr>
          <w:rFonts w:ascii="仿宋_GB2312" w:eastAsia="仿宋_GB2312" w:hAnsi="仿宋_GB2312" w:cs="仿宋_GB2312"/>
          <w:kern w:val="0"/>
          <w:sz w:val="32"/>
          <w:szCs w:val="32"/>
        </w:rPr>
      </w:pPr>
    </w:p>
    <w:p w:rsidR="00B47AB6" w:rsidRDefault="00B47AB6">
      <w:pPr>
        <w:widowControl/>
        <w:spacing w:line="560" w:lineRule="exact"/>
        <w:rPr>
          <w:rFonts w:ascii="仿宋_GB2312" w:eastAsia="仿宋_GB2312" w:hAnsi="仿宋_GB2312" w:cs="仿宋_GB2312"/>
          <w:kern w:val="0"/>
          <w:sz w:val="32"/>
          <w:szCs w:val="32"/>
        </w:rPr>
      </w:pPr>
    </w:p>
    <w:p w:rsidR="005E505E" w:rsidRDefault="005E505E" w:rsidP="005E505E">
      <w:pPr>
        <w:widowControl/>
        <w:jc w:val="center"/>
        <w:rPr>
          <w:rFonts w:ascii="方正小标宋简体" w:eastAsia="方正小标宋简体" w:hAnsi="方正小标宋简体" w:cs="方正小标宋简体"/>
          <w:b/>
          <w:kern w:val="0"/>
          <w:sz w:val="52"/>
          <w:szCs w:val="52"/>
        </w:rPr>
      </w:pPr>
      <w:proofErr w:type="gramStart"/>
      <w:r>
        <w:rPr>
          <w:rFonts w:ascii="方正小标宋简体" w:eastAsia="方正小标宋简体" w:hAnsi="方正小标宋简体" w:cs="方正小标宋简体" w:hint="eastAsia"/>
          <w:b/>
          <w:kern w:val="0"/>
          <w:sz w:val="52"/>
          <w:szCs w:val="52"/>
        </w:rPr>
        <w:t>商洛市</w:t>
      </w:r>
      <w:proofErr w:type="gramEnd"/>
      <w:r>
        <w:rPr>
          <w:rFonts w:ascii="方正小标宋简体" w:eastAsia="方正小标宋简体" w:hAnsi="方正小标宋简体" w:cs="方正小标宋简体" w:hint="eastAsia"/>
          <w:b/>
          <w:kern w:val="0"/>
          <w:sz w:val="52"/>
          <w:szCs w:val="52"/>
        </w:rPr>
        <w:t>森林防火中心</w:t>
      </w:r>
    </w:p>
    <w:p w:rsidR="005E505E" w:rsidRDefault="005E505E" w:rsidP="005E505E">
      <w:pPr>
        <w:widowControl/>
        <w:jc w:val="center"/>
        <w:rPr>
          <w:rFonts w:ascii="方正小标宋简体" w:eastAsia="方正小标宋简体" w:hAnsi="方正小标宋简体" w:cs="方正小标宋简体"/>
          <w:b/>
          <w:kern w:val="0"/>
          <w:sz w:val="52"/>
          <w:szCs w:val="52"/>
        </w:rPr>
      </w:pPr>
      <w:r>
        <w:rPr>
          <w:rFonts w:ascii="方正小标宋简体" w:eastAsia="方正小标宋简体" w:hAnsi="方正小标宋简体" w:cs="方正小标宋简体" w:hint="eastAsia"/>
          <w:b/>
          <w:kern w:val="0"/>
          <w:sz w:val="52"/>
          <w:szCs w:val="52"/>
        </w:rPr>
        <w:t xml:space="preserve">2021 </w:t>
      </w:r>
      <w:proofErr w:type="gramStart"/>
      <w:r>
        <w:rPr>
          <w:rFonts w:ascii="方正小标宋简体" w:eastAsia="方正小标宋简体" w:hAnsi="方正小标宋简体" w:cs="方正小标宋简体" w:hint="eastAsia"/>
          <w:b/>
          <w:kern w:val="0"/>
          <w:sz w:val="52"/>
          <w:szCs w:val="52"/>
        </w:rPr>
        <w:t>年部门</w:t>
      </w:r>
      <w:proofErr w:type="gramEnd"/>
      <w:r>
        <w:rPr>
          <w:rFonts w:ascii="方正小标宋简体" w:eastAsia="方正小标宋简体" w:hAnsi="方正小标宋简体" w:cs="方正小标宋简体" w:hint="eastAsia"/>
          <w:b/>
          <w:kern w:val="0"/>
          <w:sz w:val="52"/>
          <w:szCs w:val="52"/>
        </w:rPr>
        <w:t>决算</w:t>
      </w:r>
    </w:p>
    <w:p w:rsidR="00B47AB6" w:rsidRDefault="00B47AB6">
      <w:pPr>
        <w:widowControl/>
        <w:jc w:val="center"/>
        <w:rPr>
          <w:rFonts w:ascii="黑体" w:eastAsia="黑体" w:hAnsi="黑体" w:cs="黑体"/>
          <w:kern w:val="0"/>
          <w:sz w:val="72"/>
          <w:szCs w:val="72"/>
        </w:rPr>
      </w:pPr>
    </w:p>
    <w:p w:rsidR="00B47AB6" w:rsidRDefault="00B47AB6">
      <w:pPr>
        <w:widowControl/>
        <w:jc w:val="center"/>
        <w:rPr>
          <w:rFonts w:ascii="黑体" w:eastAsia="黑体" w:hAnsi="黑体" w:cs="黑体"/>
          <w:kern w:val="0"/>
          <w:sz w:val="72"/>
          <w:szCs w:val="72"/>
        </w:rPr>
      </w:pPr>
    </w:p>
    <w:p w:rsidR="00B47AB6" w:rsidRDefault="00B47AB6">
      <w:pPr>
        <w:widowControl/>
        <w:spacing w:line="560" w:lineRule="exact"/>
        <w:rPr>
          <w:rFonts w:ascii="仿宋_GB2312" w:eastAsia="仿宋_GB2312" w:hAnsi="仿宋_GB2312" w:cs="仿宋_GB2312"/>
          <w:kern w:val="0"/>
          <w:sz w:val="32"/>
          <w:szCs w:val="32"/>
        </w:rPr>
      </w:pPr>
    </w:p>
    <w:p w:rsidR="00B47AB6" w:rsidRDefault="00B47AB6">
      <w:pPr>
        <w:widowControl/>
        <w:spacing w:line="560" w:lineRule="exact"/>
        <w:rPr>
          <w:rFonts w:ascii="仿宋_GB2312" w:eastAsia="仿宋_GB2312" w:hAnsi="仿宋_GB2312" w:cs="仿宋_GB2312"/>
          <w:kern w:val="0"/>
          <w:sz w:val="32"/>
          <w:szCs w:val="32"/>
        </w:rPr>
      </w:pPr>
    </w:p>
    <w:p w:rsidR="00B47AB6" w:rsidRDefault="00B47AB6">
      <w:pPr>
        <w:widowControl/>
        <w:spacing w:line="560" w:lineRule="exact"/>
        <w:rPr>
          <w:rFonts w:ascii="仿宋_GB2312" w:eastAsia="仿宋_GB2312" w:hAnsi="仿宋_GB2312" w:cs="仿宋_GB2312"/>
          <w:kern w:val="0"/>
          <w:sz w:val="32"/>
          <w:szCs w:val="32"/>
        </w:rPr>
      </w:pPr>
    </w:p>
    <w:p w:rsidR="00B47AB6" w:rsidRDefault="00B47AB6">
      <w:pPr>
        <w:widowControl/>
        <w:spacing w:line="560" w:lineRule="exact"/>
        <w:rPr>
          <w:rFonts w:ascii="仿宋_GB2312" w:eastAsia="仿宋_GB2312" w:hAnsi="仿宋_GB2312" w:cs="仿宋_GB2312"/>
          <w:kern w:val="0"/>
          <w:sz w:val="32"/>
          <w:szCs w:val="32"/>
        </w:rPr>
      </w:pPr>
    </w:p>
    <w:p w:rsidR="00B47AB6" w:rsidRDefault="00B47AB6">
      <w:pPr>
        <w:widowControl/>
        <w:spacing w:line="560" w:lineRule="exact"/>
        <w:rPr>
          <w:rFonts w:ascii="仿宋_GB2312" w:eastAsia="仿宋_GB2312" w:hAnsi="仿宋_GB2312" w:cs="仿宋_GB2312"/>
          <w:kern w:val="0"/>
          <w:sz w:val="32"/>
          <w:szCs w:val="32"/>
        </w:rPr>
      </w:pPr>
    </w:p>
    <w:p w:rsidR="00B47AB6" w:rsidRDefault="00B47AB6">
      <w:pPr>
        <w:widowControl/>
        <w:spacing w:line="560" w:lineRule="exact"/>
        <w:rPr>
          <w:rFonts w:ascii="仿宋_GB2312" w:eastAsia="仿宋_GB2312" w:hAnsi="仿宋_GB2312" w:cs="仿宋_GB2312"/>
          <w:kern w:val="0"/>
          <w:sz w:val="32"/>
          <w:szCs w:val="32"/>
        </w:rPr>
      </w:pPr>
    </w:p>
    <w:p w:rsidR="00B47AB6" w:rsidRDefault="00B47AB6">
      <w:pPr>
        <w:widowControl/>
        <w:spacing w:line="560" w:lineRule="exact"/>
        <w:rPr>
          <w:rFonts w:ascii="仿宋_GB2312" w:eastAsia="仿宋_GB2312" w:hAnsi="仿宋_GB2312" w:cs="仿宋_GB2312"/>
          <w:kern w:val="0"/>
          <w:sz w:val="32"/>
          <w:szCs w:val="32"/>
        </w:rPr>
      </w:pPr>
    </w:p>
    <w:p w:rsidR="00B47AB6" w:rsidRDefault="00B2239E">
      <w:pPr>
        <w:widowControl/>
        <w:spacing w:line="560" w:lineRule="exact"/>
        <w:ind w:firstLineChars="700" w:firstLine="2100"/>
        <w:rPr>
          <w:rFonts w:ascii="黑体" w:eastAsia="黑体" w:hAnsi="黑体" w:cs="黑体"/>
          <w:sz w:val="30"/>
          <w:szCs w:val="30"/>
        </w:rPr>
      </w:pPr>
      <w:r>
        <w:rPr>
          <w:rFonts w:ascii="黑体" w:eastAsia="黑体" w:hAnsi="黑体" w:cs="黑体" w:hint="eastAsia"/>
          <w:sz w:val="30"/>
          <w:szCs w:val="30"/>
        </w:rPr>
        <w:t xml:space="preserve">保密审查情况：已审查  </w:t>
      </w:r>
    </w:p>
    <w:p w:rsidR="00B47AB6" w:rsidRDefault="00B2239E">
      <w:pPr>
        <w:widowControl/>
        <w:spacing w:line="560" w:lineRule="exact"/>
        <w:ind w:firstLineChars="650" w:firstLine="1950"/>
        <w:rPr>
          <w:rFonts w:ascii="黑体" w:eastAsia="黑体" w:hAnsi="黑体" w:cs="黑体"/>
          <w:kern w:val="0"/>
          <w:sz w:val="30"/>
          <w:szCs w:val="30"/>
        </w:rPr>
      </w:pPr>
      <w:r>
        <w:rPr>
          <w:rFonts w:ascii="黑体" w:eastAsia="黑体" w:hAnsi="黑体" w:cs="黑体" w:hint="eastAsia"/>
          <w:sz w:val="30"/>
          <w:szCs w:val="30"/>
        </w:rPr>
        <w:t>部门主要负责人审签情况：已审签</w:t>
      </w:r>
    </w:p>
    <w:p w:rsidR="00B47AB6" w:rsidRDefault="00B47AB6">
      <w:pPr>
        <w:widowControl/>
        <w:spacing w:line="560" w:lineRule="exact"/>
        <w:rPr>
          <w:rFonts w:ascii="仿宋_GB2312" w:eastAsia="仿宋_GB2312" w:hAnsi="仿宋_GB2312" w:cs="仿宋_GB2312"/>
          <w:kern w:val="0"/>
          <w:sz w:val="32"/>
          <w:szCs w:val="32"/>
        </w:rPr>
      </w:pPr>
    </w:p>
    <w:p w:rsidR="00B47AB6" w:rsidRDefault="00B47AB6">
      <w:pPr>
        <w:widowControl/>
        <w:spacing w:line="560" w:lineRule="exact"/>
        <w:rPr>
          <w:rFonts w:ascii="仿宋_GB2312" w:eastAsia="仿宋_GB2312" w:hAnsi="仿宋_GB2312" w:cs="仿宋_GB2312"/>
          <w:kern w:val="0"/>
          <w:sz w:val="32"/>
          <w:szCs w:val="32"/>
        </w:rPr>
      </w:pPr>
    </w:p>
    <w:p w:rsidR="00B47AB6" w:rsidRDefault="00B47AB6">
      <w:pPr>
        <w:widowControl/>
        <w:spacing w:line="560" w:lineRule="exact"/>
        <w:rPr>
          <w:rFonts w:ascii="仿宋_GB2312" w:eastAsia="仿宋_GB2312" w:hAnsi="仿宋_GB2312" w:cs="仿宋_GB2312"/>
          <w:kern w:val="0"/>
          <w:sz w:val="32"/>
          <w:szCs w:val="32"/>
        </w:rPr>
      </w:pPr>
    </w:p>
    <w:p w:rsidR="00B47AB6" w:rsidRDefault="00B47AB6">
      <w:pPr>
        <w:widowControl/>
        <w:spacing w:line="560" w:lineRule="exact"/>
        <w:rPr>
          <w:rFonts w:ascii="仿宋_GB2312" w:eastAsia="仿宋_GB2312" w:hAnsi="仿宋_GB2312" w:cs="仿宋_GB2312"/>
          <w:kern w:val="0"/>
          <w:sz w:val="32"/>
          <w:szCs w:val="32"/>
        </w:rPr>
      </w:pPr>
    </w:p>
    <w:p w:rsidR="00B47AB6" w:rsidRDefault="00B47AB6">
      <w:pPr>
        <w:widowControl/>
        <w:spacing w:line="560" w:lineRule="exact"/>
        <w:jc w:val="left"/>
        <w:rPr>
          <w:rFonts w:ascii="仿宋_GB2312" w:eastAsia="仿宋_GB2312" w:hAnsi="仿宋_GB2312" w:cs="仿宋_GB2312"/>
          <w:kern w:val="0"/>
          <w:sz w:val="32"/>
          <w:szCs w:val="32"/>
        </w:rPr>
      </w:pPr>
    </w:p>
    <w:p w:rsidR="00B47AB6" w:rsidRDefault="00B47AB6">
      <w:pPr>
        <w:widowControl/>
        <w:spacing w:line="560" w:lineRule="exact"/>
        <w:jc w:val="center"/>
        <w:rPr>
          <w:rFonts w:ascii="黑体" w:eastAsia="黑体" w:hAnsi="黑体" w:cs="黑体"/>
          <w:bCs/>
          <w:kern w:val="0"/>
          <w:sz w:val="32"/>
          <w:szCs w:val="32"/>
        </w:rPr>
      </w:pPr>
    </w:p>
    <w:p w:rsidR="005E505E" w:rsidRDefault="005E505E" w:rsidP="005E505E">
      <w:pPr>
        <w:widowControl/>
        <w:spacing w:line="560" w:lineRule="exact"/>
        <w:jc w:val="center"/>
        <w:rPr>
          <w:rFonts w:ascii="黑体" w:eastAsia="黑体" w:hAnsi="黑体" w:cs="黑体"/>
          <w:bCs/>
          <w:kern w:val="0"/>
          <w:sz w:val="32"/>
          <w:szCs w:val="32"/>
        </w:rPr>
      </w:pPr>
      <w:r>
        <w:rPr>
          <w:rFonts w:ascii="黑体" w:eastAsia="黑体" w:hAnsi="黑体" w:cs="黑体" w:hint="eastAsia"/>
          <w:bCs/>
          <w:kern w:val="0"/>
          <w:sz w:val="32"/>
          <w:szCs w:val="32"/>
        </w:rPr>
        <w:lastRenderedPageBreak/>
        <w:t>目 录</w:t>
      </w:r>
    </w:p>
    <w:p w:rsidR="005E505E" w:rsidRDefault="005E505E" w:rsidP="005E505E">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第一部分 部门概况</w:t>
      </w:r>
    </w:p>
    <w:p w:rsidR="005E505E" w:rsidRDefault="005E505E" w:rsidP="005E505E">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一、部门主要职责及内设机构</w:t>
      </w:r>
    </w:p>
    <w:p w:rsidR="005E505E" w:rsidRDefault="005E505E" w:rsidP="005E505E">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二、部门决算单位构成</w:t>
      </w:r>
    </w:p>
    <w:p w:rsidR="005E505E" w:rsidRDefault="005E505E" w:rsidP="005E505E">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三、部门人员情况</w:t>
      </w:r>
    </w:p>
    <w:p w:rsidR="005E505E" w:rsidRDefault="005E505E" w:rsidP="005E505E">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 xml:space="preserve">第二部分 2021 </w:t>
      </w:r>
      <w:proofErr w:type="gramStart"/>
      <w:r>
        <w:rPr>
          <w:rFonts w:ascii="方正小标宋简体" w:eastAsia="方正小标宋简体" w:hAnsi="方正小标宋简体" w:cs="方正小标宋简体" w:hint="eastAsia"/>
          <w:bCs/>
          <w:kern w:val="0"/>
          <w:sz w:val="32"/>
          <w:szCs w:val="32"/>
        </w:rPr>
        <w:t>年部门</w:t>
      </w:r>
      <w:proofErr w:type="gramEnd"/>
      <w:r>
        <w:rPr>
          <w:rFonts w:ascii="方正小标宋简体" w:eastAsia="方正小标宋简体" w:hAnsi="方正小标宋简体" w:cs="方正小标宋简体" w:hint="eastAsia"/>
          <w:bCs/>
          <w:kern w:val="0"/>
          <w:sz w:val="32"/>
          <w:szCs w:val="32"/>
        </w:rPr>
        <w:t>决算表</w:t>
      </w:r>
    </w:p>
    <w:p w:rsidR="005E505E" w:rsidRDefault="005E505E" w:rsidP="005E505E">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一、收入支出决算总表</w:t>
      </w:r>
    </w:p>
    <w:p w:rsidR="005E505E" w:rsidRDefault="005E505E" w:rsidP="005E505E">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二、收入决算总表</w:t>
      </w:r>
    </w:p>
    <w:p w:rsidR="005E505E" w:rsidRDefault="005E505E" w:rsidP="005E505E">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三、支出决算总表</w:t>
      </w:r>
    </w:p>
    <w:p w:rsidR="005E505E" w:rsidRDefault="005E505E" w:rsidP="005E505E">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四、财政拨款收入支出决算总表</w:t>
      </w:r>
    </w:p>
    <w:p w:rsidR="005E505E" w:rsidRDefault="005E505E" w:rsidP="005E505E">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五、一般公共预算财政拨款支出决算表</w:t>
      </w:r>
    </w:p>
    <w:p w:rsidR="005E505E" w:rsidRDefault="005E505E" w:rsidP="005E505E">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六、一般公共预算财政拨款基本支出决算表</w:t>
      </w:r>
    </w:p>
    <w:p w:rsidR="005E505E" w:rsidRDefault="005E505E" w:rsidP="005E505E">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七、一般公共预算财政拨款“三公”经费及会议费、培训费</w:t>
      </w:r>
    </w:p>
    <w:p w:rsidR="005E505E" w:rsidRDefault="005E505E" w:rsidP="005E505E">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支出决算表</w:t>
      </w:r>
    </w:p>
    <w:p w:rsidR="005E505E" w:rsidRDefault="005E505E" w:rsidP="005E505E">
      <w:pPr>
        <w:widowControl/>
        <w:spacing w:line="560" w:lineRule="exact"/>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八、政府性基金预算财政拨款收入支出决算表</w:t>
      </w:r>
    </w:p>
    <w:p w:rsidR="005E505E" w:rsidRDefault="005E505E" w:rsidP="005E505E">
      <w:pPr>
        <w:widowControl/>
        <w:spacing w:line="560" w:lineRule="exact"/>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kern w:val="0"/>
          <w:sz w:val="32"/>
          <w:szCs w:val="32"/>
        </w:rPr>
        <w:t>九、</w:t>
      </w:r>
      <w:r>
        <w:rPr>
          <w:rFonts w:ascii="仿宋_GB2312" w:eastAsia="仿宋_GB2312" w:hAnsi="仿宋_GB2312" w:cs="仿宋_GB2312" w:hint="eastAsia"/>
          <w:color w:val="000000"/>
          <w:kern w:val="0"/>
          <w:sz w:val="32"/>
          <w:szCs w:val="32"/>
        </w:rPr>
        <w:t>国有资本经营预算财政拨款支出决算表</w:t>
      </w:r>
    </w:p>
    <w:p w:rsidR="005E505E" w:rsidRDefault="005E505E" w:rsidP="005E505E">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 xml:space="preserve">第三部分 2021 </w:t>
      </w:r>
      <w:proofErr w:type="gramStart"/>
      <w:r>
        <w:rPr>
          <w:rFonts w:ascii="方正小标宋简体" w:eastAsia="方正小标宋简体" w:hAnsi="方正小标宋简体" w:cs="方正小标宋简体" w:hint="eastAsia"/>
          <w:bCs/>
          <w:kern w:val="0"/>
          <w:sz w:val="32"/>
          <w:szCs w:val="32"/>
        </w:rPr>
        <w:t>年部门</w:t>
      </w:r>
      <w:proofErr w:type="gramEnd"/>
      <w:r>
        <w:rPr>
          <w:rFonts w:ascii="方正小标宋简体" w:eastAsia="方正小标宋简体" w:hAnsi="方正小标宋简体" w:cs="方正小标宋简体" w:hint="eastAsia"/>
          <w:bCs/>
          <w:kern w:val="0"/>
          <w:sz w:val="32"/>
          <w:szCs w:val="32"/>
        </w:rPr>
        <w:t>决算情况说明</w:t>
      </w:r>
    </w:p>
    <w:p w:rsidR="005E505E" w:rsidRDefault="005E505E" w:rsidP="005E505E">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一、收入支出决算总体情况说明   </w:t>
      </w:r>
    </w:p>
    <w:p w:rsidR="005E505E" w:rsidRDefault="005E505E" w:rsidP="005E505E">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二、收入决算情况说明     </w:t>
      </w:r>
    </w:p>
    <w:p w:rsidR="005E505E" w:rsidRDefault="005E505E" w:rsidP="005E505E">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三、支出决算情况说明    </w:t>
      </w:r>
    </w:p>
    <w:p w:rsidR="005E505E" w:rsidRDefault="005E505E" w:rsidP="005E505E">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 xml:space="preserve">四、财政拨款收入支出决算总体情况说明    </w:t>
      </w:r>
    </w:p>
    <w:p w:rsidR="005E505E" w:rsidRDefault="005E505E" w:rsidP="005E505E">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五、一般公共预算财政拨款支出决算情况说明 </w:t>
      </w:r>
    </w:p>
    <w:p w:rsidR="005E505E" w:rsidRDefault="005E505E" w:rsidP="005E505E">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六、一般公共预算财政拨款基本支出决算情况说明   </w:t>
      </w:r>
    </w:p>
    <w:p w:rsidR="005E505E" w:rsidRDefault="005E505E" w:rsidP="005E505E">
      <w:pPr>
        <w:widowControl/>
        <w:ind w:left="640" w:hangingChars="200" w:hanging="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lastRenderedPageBreak/>
        <w:t xml:space="preserve">七、一般公共预算财政拨款“三公”经费及会议费、培训费支出决算情况说明  </w:t>
      </w:r>
    </w:p>
    <w:p w:rsidR="005E505E" w:rsidRDefault="005E505E" w:rsidP="005E505E">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八、政府性基金预算财政拨款收入支出情况说明 </w:t>
      </w:r>
    </w:p>
    <w:p w:rsidR="005E505E" w:rsidRDefault="005E505E" w:rsidP="005E505E">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九、国有资本经营财政拨款收入支出情况说明 </w:t>
      </w:r>
    </w:p>
    <w:p w:rsidR="005E505E" w:rsidRDefault="005E505E" w:rsidP="005E505E">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十、机关运行经费支出情况说明 </w:t>
      </w:r>
    </w:p>
    <w:p w:rsidR="005E505E" w:rsidRDefault="005E505E" w:rsidP="005E505E">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十一、政府采购支出情况说明 </w:t>
      </w:r>
    </w:p>
    <w:p w:rsidR="005E505E" w:rsidRDefault="005E505E" w:rsidP="005E505E">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十二、国有资产占用及购置情况说明 </w:t>
      </w:r>
    </w:p>
    <w:p w:rsidR="005E505E" w:rsidRDefault="005E505E" w:rsidP="005E505E">
      <w:pPr>
        <w:widowControl/>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 xml:space="preserve">十三、预算绩效情况说明 </w:t>
      </w:r>
    </w:p>
    <w:p w:rsidR="00B47AB6" w:rsidRDefault="00B2239E">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第四部分 专业名词解释</w:t>
      </w:r>
    </w:p>
    <w:p w:rsidR="00B47AB6" w:rsidRDefault="00B47AB6">
      <w:pPr>
        <w:widowControl/>
        <w:spacing w:line="560" w:lineRule="exact"/>
        <w:jc w:val="left"/>
        <w:rPr>
          <w:rFonts w:ascii="方正小标宋简体" w:eastAsia="方正小标宋简体" w:hAnsi="方正小标宋简体" w:cs="方正小标宋简体"/>
          <w:kern w:val="0"/>
          <w:sz w:val="32"/>
          <w:szCs w:val="32"/>
        </w:rPr>
      </w:pPr>
    </w:p>
    <w:p w:rsidR="00B47AB6" w:rsidRDefault="00B2239E">
      <w:pPr>
        <w:widowControl/>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第一部分 部门概况</w:t>
      </w:r>
    </w:p>
    <w:p w:rsidR="00B47AB6" w:rsidRDefault="00B2239E">
      <w:pPr>
        <w:widowControl/>
        <w:ind w:firstLineChars="200" w:firstLine="643"/>
        <w:rPr>
          <w:rFonts w:ascii="黑体" w:eastAsia="黑体" w:hAnsi="黑体" w:cs="黑体"/>
          <w:b/>
          <w:kern w:val="0"/>
          <w:sz w:val="32"/>
          <w:szCs w:val="32"/>
        </w:rPr>
      </w:pPr>
      <w:r>
        <w:rPr>
          <w:rFonts w:ascii="黑体" w:eastAsia="黑体" w:hAnsi="黑体" w:cs="黑体" w:hint="eastAsia"/>
          <w:b/>
          <w:kern w:val="0"/>
          <w:sz w:val="32"/>
          <w:szCs w:val="32"/>
        </w:rPr>
        <w:t>一、部门主要职责及内设机构</w:t>
      </w:r>
    </w:p>
    <w:p w:rsidR="005E505E" w:rsidRPr="005E505E" w:rsidRDefault="005E505E" w:rsidP="005E505E">
      <w:pPr>
        <w:pStyle w:val="a8"/>
        <w:widowControl/>
        <w:numPr>
          <w:ilvl w:val="0"/>
          <w:numId w:val="1"/>
        </w:numPr>
        <w:spacing w:line="560" w:lineRule="exact"/>
        <w:ind w:firstLineChars="0"/>
        <w:jc w:val="left"/>
        <w:rPr>
          <w:rFonts w:ascii="仿宋_GB2312" w:eastAsia="仿宋_GB2312" w:hAnsi="仿宋_GB2312" w:cs="仿宋_GB2312"/>
          <w:sz w:val="32"/>
          <w:szCs w:val="32"/>
        </w:rPr>
      </w:pPr>
      <w:r w:rsidRPr="005E505E">
        <w:rPr>
          <w:rFonts w:ascii="仿宋_GB2312" w:eastAsia="仿宋_GB2312" w:hAnsi="仿宋_GB2312" w:cs="仿宋_GB2312" w:hint="eastAsia"/>
          <w:sz w:val="32"/>
          <w:szCs w:val="32"/>
        </w:rPr>
        <w:t>（一）主要职责</w:t>
      </w:r>
    </w:p>
    <w:p w:rsidR="005E505E" w:rsidRPr="005E505E" w:rsidRDefault="005E505E" w:rsidP="005E505E">
      <w:pPr>
        <w:pStyle w:val="a8"/>
        <w:widowControl/>
        <w:numPr>
          <w:ilvl w:val="0"/>
          <w:numId w:val="1"/>
        </w:numPr>
        <w:spacing w:line="560" w:lineRule="exact"/>
        <w:ind w:firstLineChars="0"/>
        <w:jc w:val="left"/>
        <w:rPr>
          <w:rFonts w:ascii="仿宋_GB2312" w:eastAsia="仿宋_GB2312" w:hAnsi="宋体" w:cs="宋体"/>
          <w:kern w:val="0"/>
          <w:sz w:val="24"/>
        </w:rPr>
      </w:pPr>
      <w:r w:rsidRPr="005E505E">
        <w:rPr>
          <w:rFonts w:ascii="仿宋_GB2312" w:eastAsia="仿宋_GB2312" w:hAnsi="宋体" w:cs="宋体" w:hint="eastAsia"/>
          <w:kern w:val="0"/>
          <w:sz w:val="24"/>
        </w:rPr>
        <w:t>1.部门主要职责</w:t>
      </w:r>
    </w:p>
    <w:p w:rsidR="005E505E" w:rsidRPr="005E505E" w:rsidRDefault="005E505E" w:rsidP="005E505E">
      <w:pPr>
        <w:pStyle w:val="a8"/>
        <w:widowControl/>
        <w:numPr>
          <w:ilvl w:val="0"/>
          <w:numId w:val="1"/>
        </w:numPr>
        <w:spacing w:line="560" w:lineRule="exact"/>
        <w:ind w:firstLineChars="0"/>
        <w:jc w:val="left"/>
        <w:rPr>
          <w:rFonts w:ascii="仿宋" w:eastAsia="仿宋" w:hAnsi="仿宋"/>
          <w:sz w:val="24"/>
        </w:rPr>
      </w:pPr>
      <w:r w:rsidRPr="005E505E">
        <w:rPr>
          <w:rFonts w:ascii="仿宋" w:eastAsia="仿宋" w:hAnsi="仿宋" w:hint="eastAsia"/>
          <w:sz w:val="24"/>
        </w:rPr>
        <w:t>负责指导全市森林火灾预防工作:负责指导各县区开展森林防火宣传、防火巡护、火源管理和防火设施建设等工作;负责根据安排对各县区森林火灾预防工作开展情况进行督查检查;负责森林火灾的早期处置相关工作；</w:t>
      </w:r>
    </w:p>
    <w:p w:rsidR="00B47AB6" w:rsidRDefault="00B2239E">
      <w:pPr>
        <w:widowControl/>
        <w:numPr>
          <w:ilvl w:val="0"/>
          <w:numId w:val="1"/>
        </w:numPr>
        <w:ind w:firstLineChars="200" w:firstLine="640"/>
        <w:rPr>
          <w:rFonts w:ascii="黑体" w:eastAsia="黑体" w:hAnsi="黑体" w:cs="黑体"/>
          <w:kern w:val="0"/>
          <w:sz w:val="32"/>
          <w:szCs w:val="32"/>
        </w:rPr>
      </w:pPr>
      <w:r>
        <w:rPr>
          <w:rFonts w:ascii="黑体" w:eastAsia="黑体" w:hAnsi="黑体" w:cs="黑体"/>
          <w:kern w:val="0"/>
          <w:sz w:val="32"/>
          <w:szCs w:val="32"/>
        </w:rPr>
        <w:t>内设机构</w:t>
      </w:r>
    </w:p>
    <w:p w:rsidR="00B47AB6" w:rsidRDefault="005E505E">
      <w:pPr>
        <w:widowControl/>
        <w:spacing w:line="560" w:lineRule="exact"/>
        <w:ind w:firstLineChars="200" w:firstLine="640"/>
        <w:jc w:val="left"/>
        <w:rPr>
          <w:rFonts w:ascii="黑体" w:eastAsia="黑体" w:hAnsi="黑体" w:cs="黑体"/>
          <w:kern w:val="0"/>
          <w:sz w:val="32"/>
          <w:szCs w:val="32"/>
        </w:rPr>
      </w:pPr>
      <w:r>
        <w:rPr>
          <w:rFonts w:ascii="仿宋_GB2312" w:eastAsia="仿宋_GB2312" w:hAnsi="仿宋_GB2312" w:cs="仿宋_GB2312" w:hint="eastAsia"/>
          <w:sz w:val="32"/>
          <w:szCs w:val="32"/>
        </w:rPr>
        <w:t>无</w:t>
      </w:r>
    </w:p>
    <w:p w:rsidR="005E505E" w:rsidRDefault="005E505E" w:rsidP="005E505E">
      <w:pPr>
        <w:widowControl/>
        <w:rPr>
          <w:rFonts w:ascii="黑体" w:eastAsia="黑体" w:hAnsi="黑体" w:cs="黑体"/>
          <w:b/>
          <w:kern w:val="0"/>
          <w:sz w:val="32"/>
          <w:szCs w:val="32"/>
        </w:rPr>
      </w:pPr>
    </w:p>
    <w:p w:rsidR="00B47AB6" w:rsidRDefault="005E505E" w:rsidP="005E505E">
      <w:pPr>
        <w:widowControl/>
        <w:ind w:left="643"/>
        <w:rPr>
          <w:rFonts w:ascii="黑体" w:eastAsia="黑体" w:hAnsi="黑体" w:cs="黑体"/>
          <w:b/>
          <w:kern w:val="0"/>
          <w:sz w:val="32"/>
          <w:szCs w:val="32"/>
        </w:rPr>
      </w:pPr>
      <w:r>
        <w:rPr>
          <w:rFonts w:ascii="黑体" w:eastAsia="黑体" w:hAnsi="黑体" w:cs="黑体"/>
          <w:b/>
          <w:kern w:val="0"/>
          <w:sz w:val="32"/>
          <w:szCs w:val="32"/>
        </w:rPr>
        <w:t>二、</w:t>
      </w:r>
      <w:r w:rsidR="00B2239E">
        <w:rPr>
          <w:rFonts w:ascii="黑体" w:eastAsia="黑体" w:hAnsi="黑体" w:cs="黑体"/>
          <w:b/>
          <w:kern w:val="0"/>
          <w:sz w:val="32"/>
          <w:szCs w:val="32"/>
        </w:rPr>
        <w:t>部门决算单位构成</w:t>
      </w:r>
    </w:p>
    <w:p w:rsidR="00B47AB6" w:rsidRDefault="00B2239E">
      <w:pPr>
        <w:widowControl/>
        <w:ind w:firstLineChars="200" w:firstLine="640"/>
        <w:rPr>
          <w:rFonts w:ascii="黑体" w:eastAsia="仿宋_GB2312" w:hAnsi="黑体" w:cs="黑体"/>
          <w:b/>
          <w:kern w:val="0"/>
          <w:sz w:val="32"/>
          <w:szCs w:val="32"/>
        </w:rPr>
      </w:pPr>
      <w:r>
        <w:rPr>
          <w:rFonts w:ascii="仿宋_GB2312" w:eastAsia="仿宋_GB2312" w:hAnsi="仿宋_GB2312" w:cs="仿宋_GB2312" w:hint="eastAsia"/>
          <w:kern w:val="0"/>
          <w:sz w:val="32"/>
          <w:szCs w:val="32"/>
        </w:rPr>
        <w:t>纳入本部门2021年部门决算编制范围的单位共1个，包括本级及0个下属单位。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6"/>
        <w:gridCol w:w="6616"/>
      </w:tblGrid>
      <w:tr w:rsidR="00B47AB6">
        <w:tc>
          <w:tcPr>
            <w:tcW w:w="1906" w:type="dxa"/>
          </w:tcPr>
          <w:p w:rsidR="00B47AB6" w:rsidRDefault="00B2239E">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序号</w:t>
            </w:r>
          </w:p>
        </w:tc>
        <w:tc>
          <w:tcPr>
            <w:tcW w:w="6616" w:type="dxa"/>
          </w:tcPr>
          <w:p w:rsidR="00B47AB6" w:rsidRDefault="00B47AB6">
            <w:pPr>
              <w:widowControl/>
              <w:rPr>
                <w:rFonts w:ascii="仿宋_GB2312" w:eastAsia="仿宋_GB2312" w:hAnsi="仿宋_GB2312" w:cs="仿宋_GB2312"/>
                <w:kern w:val="0"/>
                <w:sz w:val="32"/>
                <w:szCs w:val="32"/>
              </w:rPr>
            </w:pPr>
          </w:p>
        </w:tc>
      </w:tr>
      <w:tr w:rsidR="00B47AB6">
        <w:tc>
          <w:tcPr>
            <w:tcW w:w="1906" w:type="dxa"/>
          </w:tcPr>
          <w:p w:rsidR="00B47AB6" w:rsidRDefault="00B2239E">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w:t>
            </w:r>
          </w:p>
        </w:tc>
        <w:tc>
          <w:tcPr>
            <w:tcW w:w="6616" w:type="dxa"/>
          </w:tcPr>
          <w:p w:rsidR="00B47AB6" w:rsidRDefault="00B2239E">
            <w:pPr>
              <w:widowControl/>
              <w:rPr>
                <w:rFonts w:ascii="仿宋_GB2312" w:eastAsia="仿宋_GB2312" w:hAnsi="仿宋_GB2312" w:cs="仿宋_GB2312"/>
                <w:kern w:val="0"/>
                <w:sz w:val="32"/>
                <w:szCs w:val="32"/>
              </w:rPr>
            </w:pPr>
            <w:proofErr w:type="gramStart"/>
            <w:r>
              <w:rPr>
                <w:rFonts w:ascii="仿宋_GB2312" w:eastAsia="仿宋_GB2312" w:hAnsi="仿宋_GB2312" w:cs="仿宋_GB2312" w:hint="eastAsia"/>
                <w:kern w:val="0"/>
                <w:sz w:val="32"/>
                <w:szCs w:val="32"/>
              </w:rPr>
              <w:t>商洛市</w:t>
            </w:r>
            <w:proofErr w:type="gramEnd"/>
            <w:r w:rsidR="005E505E">
              <w:rPr>
                <w:rFonts w:ascii="仿宋_GB2312" w:eastAsia="仿宋_GB2312" w:hAnsi="仿宋_GB2312" w:cs="仿宋_GB2312" w:hint="eastAsia"/>
                <w:kern w:val="0"/>
                <w:sz w:val="32"/>
                <w:szCs w:val="32"/>
              </w:rPr>
              <w:t>森林防火</w:t>
            </w:r>
            <w:r>
              <w:rPr>
                <w:rFonts w:ascii="仿宋_GB2312" w:eastAsia="仿宋_GB2312" w:hAnsi="仿宋_GB2312" w:cs="仿宋_GB2312" w:hint="eastAsia"/>
                <w:kern w:val="0"/>
                <w:sz w:val="32"/>
                <w:szCs w:val="32"/>
              </w:rPr>
              <w:t>中心</w:t>
            </w:r>
          </w:p>
        </w:tc>
      </w:tr>
    </w:tbl>
    <w:p w:rsidR="00B47AB6" w:rsidRDefault="00B2239E">
      <w:pPr>
        <w:spacing w:line="560" w:lineRule="exact"/>
        <w:ind w:firstLineChars="200" w:firstLine="643"/>
        <w:rPr>
          <w:rFonts w:ascii="黑体" w:eastAsia="黑体" w:hAnsi="黑体" w:cs="黑体"/>
          <w:b/>
          <w:kern w:val="0"/>
          <w:sz w:val="32"/>
          <w:szCs w:val="32"/>
        </w:rPr>
      </w:pPr>
      <w:r>
        <w:rPr>
          <w:rFonts w:ascii="黑体" w:eastAsia="黑体" w:hAnsi="黑体" w:cs="黑体"/>
          <w:b/>
          <w:kern w:val="0"/>
          <w:sz w:val="32"/>
          <w:szCs w:val="32"/>
        </w:rPr>
        <w:t>三、部门人员情况</w:t>
      </w:r>
    </w:p>
    <w:p w:rsidR="005E505E" w:rsidRPr="00D91B2D" w:rsidRDefault="005E505E" w:rsidP="005E505E">
      <w:pPr>
        <w:spacing w:line="560" w:lineRule="exact"/>
        <w:ind w:firstLineChars="200" w:firstLine="500"/>
        <w:rPr>
          <w:rFonts w:ascii="仿宋" w:eastAsia="仿宋" w:hAnsi="仿宋" w:cs="仿宋"/>
          <w:color w:val="535353"/>
          <w:sz w:val="25"/>
          <w:szCs w:val="25"/>
        </w:rPr>
      </w:pPr>
      <w:r>
        <w:rPr>
          <w:rFonts w:ascii="仿宋" w:eastAsia="仿宋" w:hAnsi="仿宋" w:cs="仿宋"/>
          <w:color w:val="535353"/>
          <w:sz w:val="25"/>
          <w:szCs w:val="25"/>
        </w:rPr>
        <w:t>截止20</w:t>
      </w:r>
      <w:r>
        <w:rPr>
          <w:rFonts w:ascii="仿宋" w:eastAsia="仿宋" w:hAnsi="仿宋" w:cs="仿宋" w:hint="eastAsia"/>
          <w:color w:val="535353"/>
          <w:sz w:val="25"/>
          <w:szCs w:val="25"/>
        </w:rPr>
        <w:t>21年底，本部门人员事业编制5人；实有人员5人。无退休人。</w:t>
      </w:r>
    </w:p>
    <w:p w:rsidR="00B47AB6" w:rsidRDefault="005E505E">
      <w:pPr>
        <w:jc w:val="center"/>
      </w:pPr>
      <w:r>
        <w:rPr>
          <w:noProof/>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7AB6" w:rsidRDefault="00B2239E">
      <w:pPr>
        <w:numPr>
          <w:ilvl w:val="0"/>
          <w:numId w:val="3"/>
        </w:numPr>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 xml:space="preserve"> 2021 年度部门决算表</w:t>
      </w:r>
    </w:p>
    <w:p w:rsidR="00B47AB6" w:rsidRDefault="00B2239E">
      <w:pPr>
        <w:spacing w:line="560" w:lineRule="exact"/>
        <w:jc w:val="center"/>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（2021年度部门决算表公开内容详见附件）</w:t>
      </w:r>
    </w:p>
    <w:p w:rsidR="00B47AB6" w:rsidRDefault="00B2239E">
      <w:pPr>
        <w:spacing w:line="56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 xml:space="preserve">    第三部分  2021 </w:t>
      </w:r>
      <w:proofErr w:type="gramStart"/>
      <w:r>
        <w:rPr>
          <w:rFonts w:ascii="方正小标宋简体" w:eastAsia="方正小标宋简体" w:hAnsi="方正小标宋简体" w:cs="方正小标宋简体" w:hint="eastAsia"/>
          <w:bCs/>
          <w:kern w:val="0"/>
          <w:sz w:val="32"/>
          <w:szCs w:val="32"/>
        </w:rPr>
        <w:t>年部门</w:t>
      </w:r>
      <w:proofErr w:type="gramEnd"/>
      <w:r>
        <w:rPr>
          <w:rFonts w:ascii="方正小标宋简体" w:eastAsia="方正小标宋简体" w:hAnsi="方正小标宋简体" w:cs="方正小标宋简体" w:hint="eastAsia"/>
          <w:bCs/>
          <w:kern w:val="0"/>
          <w:sz w:val="32"/>
          <w:szCs w:val="32"/>
        </w:rPr>
        <w:t>决算情况说明</w:t>
      </w:r>
    </w:p>
    <w:p w:rsidR="00B47AB6" w:rsidRDefault="00B2239E">
      <w:pPr>
        <w:spacing w:line="560" w:lineRule="exact"/>
        <w:ind w:firstLineChars="200" w:firstLine="640"/>
        <w:rPr>
          <w:rFonts w:ascii="黑体" w:eastAsia="黑体" w:hAnsi="黑体" w:cs="黑体"/>
          <w:color w:val="FF0000"/>
          <w:kern w:val="0"/>
          <w:sz w:val="32"/>
          <w:szCs w:val="32"/>
        </w:rPr>
      </w:pPr>
      <w:r>
        <w:rPr>
          <w:rFonts w:ascii="黑体" w:eastAsia="黑体" w:hAnsi="黑体" w:cs="黑体" w:hint="eastAsia"/>
          <w:kern w:val="0"/>
          <w:sz w:val="32"/>
          <w:szCs w:val="32"/>
        </w:rPr>
        <w:t xml:space="preserve">一、收入支出决算总体情况说明 </w:t>
      </w:r>
    </w:p>
    <w:p w:rsidR="0087712D" w:rsidRPr="00836E26" w:rsidRDefault="0087712D" w:rsidP="0087712D">
      <w:pPr>
        <w:spacing w:line="560" w:lineRule="exact"/>
        <w:ind w:firstLineChars="200" w:firstLine="640"/>
        <w:jc w:val="left"/>
        <w:rPr>
          <w:rFonts w:ascii="仿宋_GB2312" w:eastAsia="仿宋_GB2312" w:hAnsi="仿宋_GB2312" w:cs="仿宋_GB2312"/>
          <w:sz w:val="32"/>
          <w:szCs w:val="32"/>
        </w:rPr>
      </w:pPr>
      <w:r w:rsidRPr="00836E26">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sidRPr="00836E26">
        <w:rPr>
          <w:rFonts w:ascii="仿宋_GB2312" w:eastAsia="仿宋_GB2312" w:hAnsi="仿宋_GB2312" w:cs="仿宋_GB2312" w:hint="eastAsia"/>
          <w:sz w:val="32"/>
          <w:szCs w:val="32"/>
        </w:rPr>
        <w:t>年度收入总计</w:t>
      </w:r>
      <w:r w:rsidRPr="00DC2FA2">
        <w:rPr>
          <w:rFonts w:ascii="仿宋_GB2312" w:eastAsia="仿宋_GB2312" w:hAnsi="仿宋_GB2312" w:cs="仿宋_GB2312"/>
          <w:sz w:val="32"/>
          <w:szCs w:val="32"/>
        </w:rPr>
        <w:t>273.98</w:t>
      </w:r>
      <w:r w:rsidRPr="00836E26">
        <w:rPr>
          <w:rFonts w:ascii="仿宋_GB2312" w:eastAsia="仿宋_GB2312" w:hAnsi="仿宋_GB2312" w:cs="仿宋_GB2312" w:hint="eastAsia"/>
          <w:sz w:val="32"/>
          <w:szCs w:val="32"/>
        </w:rPr>
        <w:t>万元，20</w:t>
      </w:r>
      <w:r>
        <w:rPr>
          <w:rFonts w:ascii="仿宋_GB2312" w:eastAsia="仿宋_GB2312" w:hAnsi="仿宋_GB2312" w:cs="仿宋_GB2312" w:hint="eastAsia"/>
          <w:sz w:val="32"/>
          <w:szCs w:val="32"/>
        </w:rPr>
        <w:t>20</w:t>
      </w:r>
      <w:r w:rsidRPr="00836E26">
        <w:rPr>
          <w:rFonts w:ascii="仿宋_GB2312" w:eastAsia="仿宋_GB2312" w:hAnsi="仿宋_GB2312" w:cs="仿宋_GB2312" w:hint="eastAsia"/>
          <w:sz w:val="32"/>
          <w:szCs w:val="32"/>
        </w:rPr>
        <w:t>年度收入总计142.54万元，本年收入比去年</w:t>
      </w:r>
      <w:r>
        <w:rPr>
          <w:rFonts w:ascii="仿宋_GB2312" w:eastAsia="仿宋_GB2312" w:hAnsi="仿宋_GB2312" w:cs="仿宋_GB2312" w:hint="eastAsia"/>
          <w:sz w:val="32"/>
          <w:szCs w:val="32"/>
        </w:rPr>
        <w:t>增加131.44</w:t>
      </w:r>
      <w:r w:rsidRPr="00836E26">
        <w:rPr>
          <w:rFonts w:ascii="仿宋_GB2312" w:eastAsia="仿宋_GB2312" w:hAnsi="仿宋_GB2312" w:cs="仿宋_GB2312" w:hint="eastAsia"/>
          <w:sz w:val="32"/>
          <w:szCs w:val="32"/>
        </w:rPr>
        <w:t>万元，主要原因为林业有关项目资金</w:t>
      </w:r>
      <w:r>
        <w:rPr>
          <w:rFonts w:ascii="仿宋_GB2312" w:eastAsia="仿宋_GB2312" w:hAnsi="仿宋_GB2312" w:cs="仿宋_GB2312" w:hint="eastAsia"/>
          <w:sz w:val="32"/>
          <w:szCs w:val="32"/>
        </w:rPr>
        <w:t>增加</w:t>
      </w:r>
      <w:r w:rsidRPr="00836E26">
        <w:rPr>
          <w:rFonts w:ascii="仿宋_GB2312" w:eastAsia="仿宋_GB2312" w:hAnsi="仿宋_GB2312" w:cs="仿宋_GB2312" w:hint="eastAsia"/>
          <w:sz w:val="32"/>
          <w:szCs w:val="32"/>
        </w:rPr>
        <w:t>。</w:t>
      </w:r>
    </w:p>
    <w:p w:rsidR="0087712D" w:rsidRDefault="0087712D" w:rsidP="0087712D">
      <w:pPr>
        <w:spacing w:line="560" w:lineRule="exact"/>
        <w:ind w:firstLineChars="200" w:firstLine="640"/>
        <w:jc w:val="left"/>
        <w:rPr>
          <w:rFonts w:ascii="仿宋_GB2312" w:eastAsia="仿宋_GB2312" w:hAnsi="仿宋_GB2312" w:cs="仿宋_GB2312"/>
          <w:sz w:val="32"/>
          <w:szCs w:val="32"/>
        </w:rPr>
      </w:pPr>
      <w:r w:rsidRPr="00836E26">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1</w:t>
      </w:r>
      <w:r w:rsidRPr="00836E26">
        <w:rPr>
          <w:rFonts w:ascii="仿宋_GB2312" w:eastAsia="仿宋_GB2312" w:hAnsi="仿宋_GB2312" w:cs="仿宋_GB2312" w:hint="eastAsia"/>
          <w:sz w:val="32"/>
          <w:szCs w:val="32"/>
        </w:rPr>
        <w:t>年度支出总计</w:t>
      </w:r>
      <w:r w:rsidRPr="00DC2FA2">
        <w:rPr>
          <w:rFonts w:ascii="仿宋_GB2312" w:eastAsia="仿宋_GB2312" w:hAnsi="仿宋_GB2312" w:cs="仿宋_GB2312"/>
          <w:sz w:val="32"/>
          <w:szCs w:val="32"/>
        </w:rPr>
        <w:t>273.98</w:t>
      </w:r>
      <w:r w:rsidRPr="00836E26">
        <w:rPr>
          <w:rFonts w:ascii="仿宋_GB2312" w:eastAsia="仿宋_GB2312" w:hAnsi="仿宋_GB2312" w:cs="仿宋_GB2312" w:hint="eastAsia"/>
          <w:sz w:val="32"/>
          <w:szCs w:val="32"/>
        </w:rPr>
        <w:t>万元，20</w:t>
      </w:r>
      <w:r>
        <w:rPr>
          <w:rFonts w:ascii="仿宋_GB2312" w:eastAsia="仿宋_GB2312" w:hAnsi="仿宋_GB2312" w:cs="仿宋_GB2312" w:hint="eastAsia"/>
          <w:sz w:val="32"/>
          <w:szCs w:val="32"/>
        </w:rPr>
        <w:t>20</w:t>
      </w:r>
      <w:r w:rsidRPr="00836E26">
        <w:rPr>
          <w:rFonts w:ascii="仿宋_GB2312" w:eastAsia="仿宋_GB2312" w:hAnsi="仿宋_GB2312" w:cs="仿宋_GB2312" w:hint="eastAsia"/>
          <w:sz w:val="32"/>
          <w:szCs w:val="32"/>
        </w:rPr>
        <w:t>年度支出总计124.12万元，本年支出比去年</w:t>
      </w:r>
      <w:r>
        <w:rPr>
          <w:rFonts w:ascii="仿宋_GB2312" w:eastAsia="仿宋_GB2312" w:hAnsi="仿宋_GB2312" w:cs="仿宋_GB2312" w:hint="eastAsia"/>
          <w:sz w:val="32"/>
          <w:szCs w:val="32"/>
        </w:rPr>
        <w:t>增加149.86</w:t>
      </w:r>
      <w:r w:rsidRPr="00836E26">
        <w:rPr>
          <w:rFonts w:ascii="仿宋_GB2312" w:eastAsia="仿宋_GB2312" w:hAnsi="仿宋_GB2312" w:cs="仿宋_GB2312" w:hint="eastAsia"/>
          <w:sz w:val="32"/>
          <w:szCs w:val="32"/>
        </w:rPr>
        <w:t>万元，主要原因为森林防火相关项目结题。</w:t>
      </w:r>
    </w:p>
    <w:p w:rsidR="00B47AB6" w:rsidRDefault="0087712D">
      <w:pPr>
        <w:ind w:firstLineChars="200" w:firstLine="420"/>
        <w:jc w:val="left"/>
        <w:rPr>
          <w:rFonts w:ascii="仿宋_GB2312" w:eastAsia="仿宋_GB2312" w:hAnsi="仿宋_GB2312" w:cs="仿宋_GB2312"/>
          <w:sz w:val="32"/>
          <w:szCs w:val="32"/>
        </w:rPr>
      </w:pPr>
      <w:r>
        <w:rPr>
          <w:noProof/>
        </w:rPr>
        <w:lastRenderedPageBreak/>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7AB6" w:rsidRDefault="00B2239E">
      <w:pPr>
        <w:spacing w:line="560" w:lineRule="exact"/>
        <w:ind w:firstLineChars="200" w:firstLine="640"/>
        <w:jc w:val="left"/>
        <w:rPr>
          <w:rFonts w:ascii="黑体" w:eastAsia="黑体" w:hAnsi="黑体"/>
          <w:bCs/>
          <w:color w:val="000000"/>
          <w:kern w:val="0"/>
          <w:sz w:val="32"/>
          <w:szCs w:val="32"/>
        </w:rPr>
      </w:pPr>
      <w:r>
        <w:rPr>
          <w:rFonts w:ascii="黑体" w:eastAsia="黑体" w:hAnsi="黑体" w:hint="eastAsia"/>
          <w:bCs/>
          <w:color w:val="000000"/>
          <w:kern w:val="0"/>
          <w:sz w:val="32"/>
          <w:szCs w:val="32"/>
        </w:rPr>
        <w:t>二、收入决算情况说明</w:t>
      </w:r>
    </w:p>
    <w:p w:rsidR="00B47AB6" w:rsidRDefault="00BF51D1" w:rsidP="00BF51D1">
      <w:pPr>
        <w:spacing w:line="560" w:lineRule="exact"/>
        <w:ind w:firstLineChars="200" w:firstLine="640"/>
        <w:rPr>
          <w:rFonts w:ascii="仿宋_GB2312" w:eastAsia="仿宋_GB2312" w:hAnsi="仿宋_GB2312" w:cs="仿宋_GB2312"/>
          <w:sz w:val="32"/>
          <w:szCs w:val="32"/>
        </w:rPr>
      </w:pPr>
      <w:r w:rsidRPr="00BF51D1">
        <w:rPr>
          <w:rFonts w:ascii="仿宋_GB2312" w:eastAsia="仿宋_GB2312" w:hAnsi="仿宋_GB2312" w:cs="仿宋_GB2312" w:hint="eastAsia"/>
          <w:sz w:val="32"/>
          <w:szCs w:val="32"/>
        </w:rPr>
        <w:t>2021年收入合计273.98万元，其中：财政拨款收入76.2万元，占27%；其他收入145万元，占54%；上年度结余52.78，占19%；</w:t>
      </w:r>
    </w:p>
    <w:p w:rsidR="00176360" w:rsidRDefault="00176360" w:rsidP="00BF51D1">
      <w:pPr>
        <w:spacing w:line="560" w:lineRule="exact"/>
        <w:ind w:firstLineChars="200" w:firstLine="640"/>
        <w:rPr>
          <w:rFonts w:ascii="仿宋_GB2312" w:eastAsia="仿宋_GB2312" w:hAnsi="仿宋_GB2312" w:cs="仿宋_GB2312"/>
          <w:sz w:val="32"/>
          <w:szCs w:val="32"/>
        </w:rPr>
      </w:pPr>
    </w:p>
    <w:p w:rsidR="00176360" w:rsidRDefault="00176360" w:rsidP="00BF51D1">
      <w:pPr>
        <w:spacing w:line="560" w:lineRule="exact"/>
        <w:ind w:firstLineChars="200" w:firstLine="640"/>
        <w:rPr>
          <w:rFonts w:ascii="仿宋_GB2312" w:eastAsia="仿宋_GB2312" w:hAnsi="仿宋_GB2312" w:cs="仿宋_GB2312"/>
          <w:color w:val="000000"/>
          <w:sz w:val="32"/>
          <w:szCs w:val="32"/>
        </w:rPr>
      </w:pPr>
    </w:p>
    <w:p w:rsidR="00B47AB6" w:rsidRDefault="00176360">
      <w:pPr>
        <w:ind w:firstLineChars="200" w:firstLine="420"/>
        <w:rPr>
          <w:rFonts w:ascii="仿宋_GB2312" w:eastAsia="仿宋_GB2312" w:hAnsi="仿宋_GB2312" w:cs="仿宋_GB2312"/>
          <w:sz w:val="32"/>
          <w:szCs w:val="32"/>
        </w:rPr>
      </w:pPr>
      <w:r>
        <w:rPr>
          <w:noProof/>
        </w:rPr>
        <w:drawing>
          <wp:inline distT="0" distB="0" distL="0" distR="0">
            <wp:extent cx="5274310" cy="3076575"/>
            <wp:effectExtent l="19050" t="0" r="2159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7AB6" w:rsidRDefault="00B2239E">
      <w:pPr>
        <w:spacing w:line="560" w:lineRule="exact"/>
        <w:ind w:firstLineChars="200" w:firstLine="640"/>
        <w:jc w:val="left"/>
        <w:rPr>
          <w:rFonts w:ascii="仿宋_GB2312" w:eastAsia="仿宋_GB2312" w:hAnsi="仿宋_GB2312" w:cs="仿宋_GB2312"/>
          <w:color w:val="FF0000"/>
          <w:sz w:val="32"/>
          <w:szCs w:val="32"/>
        </w:rPr>
      </w:pPr>
      <w:r>
        <w:rPr>
          <w:rFonts w:ascii="黑体" w:eastAsia="黑体" w:hAnsi="黑体" w:hint="eastAsia"/>
          <w:bCs/>
          <w:color w:val="000000"/>
          <w:kern w:val="0"/>
          <w:sz w:val="32"/>
          <w:szCs w:val="32"/>
        </w:rPr>
        <w:t xml:space="preserve">三、支出决算情况说明 </w:t>
      </w:r>
    </w:p>
    <w:p w:rsidR="00B47AB6" w:rsidRDefault="006037CD" w:rsidP="006037CD">
      <w:pPr>
        <w:ind w:firstLineChars="200" w:firstLine="640"/>
        <w:rPr>
          <w:rFonts w:ascii="仿宋_GB2312" w:eastAsia="仿宋_GB2312" w:hAnsi="仿宋_GB2312" w:cs="仿宋_GB2312"/>
          <w:sz w:val="32"/>
          <w:szCs w:val="32"/>
        </w:rPr>
      </w:pPr>
      <w:r w:rsidRPr="006037CD">
        <w:rPr>
          <w:rFonts w:ascii="仿宋_GB2312" w:eastAsia="仿宋_GB2312" w:hAnsi="仿宋_GB2312" w:cs="仿宋_GB2312" w:hint="eastAsia"/>
          <w:sz w:val="32"/>
          <w:szCs w:val="32"/>
        </w:rPr>
        <w:lastRenderedPageBreak/>
        <w:t>2021年支出合计273.98万元，其中：基本支出76.22万元，占28%；其他支出197.78万元，占72%。</w:t>
      </w:r>
      <w:r>
        <w:rPr>
          <w:noProof/>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7AB6" w:rsidRDefault="00B2239E">
      <w:pPr>
        <w:spacing w:line="560" w:lineRule="exact"/>
        <w:ind w:firstLineChars="200" w:firstLine="640"/>
        <w:jc w:val="left"/>
        <w:rPr>
          <w:rFonts w:ascii="黑体" w:eastAsia="黑体" w:hAnsi="黑体"/>
          <w:b/>
          <w:color w:val="FF0000"/>
          <w:kern w:val="0"/>
          <w:sz w:val="32"/>
          <w:szCs w:val="32"/>
          <w:highlight w:val="lightGray"/>
        </w:rPr>
      </w:pPr>
      <w:r>
        <w:rPr>
          <w:rFonts w:ascii="黑体" w:eastAsia="黑体" w:hAnsi="黑体" w:hint="eastAsia"/>
          <w:bCs/>
          <w:color w:val="000000"/>
          <w:kern w:val="0"/>
          <w:sz w:val="32"/>
          <w:szCs w:val="32"/>
        </w:rPr>
        <w:t xml:space="preserve">四、财政拨款收入支出决算总体情况说明 </w:t>
      </w:r>
    </w:p>
    <w:p w:rsidR="00FE5B71" w:rsidRPr="00FE5B71" w:rsidRDefault="00FE5B71" w:rsidP="00FE5B71">
      <w:pPr>
        <w:ind w:firstLineChars="200" w:firstLine="640"/>
        <w:jc w:val="left"/>
        <w:rPr>
          <w:rFonts w:ascii="仿宋_GB2312" w:eastAsia="仿宋_GB2312" w:hAnsi="仿宋_GB2312" w:cs="仿宋_GB2312"/>
          <w:sz w:val="32"/>
          <w:szCs w:val="32"/>
        </w:rPr>
      </w:pPr>
      <w:r w:rsidRPr="00FE5B71">
        <w:rPr>
          <w:rFonts w:ascii="仿宋_GB2312" w:eastAsia="仿宋_GB2312" w:hAnsi="仿宋_GB2312" w:cs="仿宋_GB2312" w:hint="eastAsia"/>
          <w:sz w:val="32"/>
          <w:szCs w:val="32"/>
        </w:rPr>
        <w:t>2021年财政拨款收入总计76.22万元，本年财政拨款收入比去年增加23.68万元，主要原因为林业草原防灾减灾支出。</w:t>
      </w:r>
    </w:p>
    <w:p w:rsidR="00B47AB6" w:rsidRDefault="00FE5B71" w:rsidP="00FE5B71">
      <w:pPr>
        <w:ind w:firstLineChars="200" w:firstLine="640"/>
        <w:jc w:val="left"/>
        <w:rPr>
          <w:rFonts w:ascii="仿宋_GB2312" w:hAnsi="仿宋_GB2312" w:cs="仿宋_GB2312"/>
          <w:sz w:val="32"/>
          <w:szCs w:val="32"/>
          <w:highlight w:val="yellow"/>
        </w:rPr>
      </w:pPr>
      <w:r w:rsidRPr="00FE5B71">
        <w:rPr>
          <w:rFonts w:ascii="仿宋_GB2312" w:eastAsia="仿宋_GB2312" w:hAnsi="仿宋_GB2312" w:cs="仿宋_GB2312" w:hint="eastAsia"/>
          <w:sz w:val="32"/>
          <w:szCs w:val="32"/>
        </w:rPr>
        <w:t>2022年财政拨款支出76.20万元，本年财政拨款收入比去年增加23.68万元，主要原因为林业草原防灾减灾支出</w:t>
      </w:r>
      <w:r w:rsidR="00B2239E">
        <w:rPr>
          <w:noProof/>
        </w:rPr>
        <w:lastRenderedPageBreak/>
        <w:drawing>
          <wp:inline distT="0" distB="0" distL="114300" distR="114300">
            <wp:extent cx="4596130" cy="2767330"/>
            <wp:effectExtent l="0" t="0" r="13970" b="13970"/>
            <wp:docPr id="1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pic:cNvPicPr>
                      <a:picLocks noChangeAspect="1"/>
                    </pic:cNvPicPr>
                  </pic:nvPicPr>
                  <pic:blipFill>
                    <a:blip r:embed="rId12" cstate="print"/>
                    <a:stretch>
                      <a:fillRect/>
                    </a:stretch>
                  </pic:blipFill>
                  <pic:spPr>
                    <a:xfrm>
                      <a:off x="0" y="0"/>
                      <a:ext cx="4596130" cy="2767330"/>
                    </a:xfrm>
                    <a:prstGeom prst="rect">
                      <a:avLst/>
                    </a:prstGeom>
                    <a:noFill/>
                    <a:ln>
                      <a:noFill/>
                    </a:ln>
                  </pic:spPr>
                </pic:pic>
              </a:graphicData>
            </a:graphic>
          </wp:inline>
        </w:drawing>
      </w:r>
    </w:p>
    <w:p w:rsidR="00B47AB6" w:rsidRDefault="00B2239E">
      <w:pPr>
        <w:spacing w:line="560" w:lineRule="exact"/>
        <w:ind w:firstLineChars="200" w:firstLine="640"/>
        <w:jc w:val="left"/>
        <w:rPr>
          <w:rFonts w:ascii="黑体" w:eastAsia="黑体" w:hAnsi="黑体"/>
          <w:bCs/>
          <w:color w:val="000000"/>
          <w:kern w:val="0"/>
          <w:sz w:val="32"/>
          <w:szCs w:val="32"/>
        </w:rPr>
      </w:pPr>
      <w:r>
        <w:rPr>
          <w:rFonts w:ascii="黑体" w:eastAsia="黑体" w:hAnsi="黑体" w:hint="eastAsia"/>
          <w:bCs/>
          <w:color w:val="000000"/>
          <w:kern w:val="0"/>
          <w:sz w:val="32"/>
          <w:szCs w:val="32"/>
        </w:rPr>
        <w:t>五、一般公共预算财政拨款支出决算情况说明</w:t>
      </w:r>
    </w:p>
    <w:p w:rsidR="00D82D1A" w:rsidRDefault="00D82D1A" w:rsidP="00D82D1A">
      <w:pPr>
        <w:spacing w:line="560" w:lineRule="exact"/>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w:t>
      </w:r>
      <w:r>
        <w:rPr>
          <w:rFonts w:ascii="楷体_GB2312" w:eastAsia="楷体_GB2312" w:hAnsi="宋体" w:cs="楷体_GB2312" w:hint="eastAsia"/>
          <w:b/>
          <w:color w:val="000000"/>
          <w:kern w:val="0"/>
          <w:sz w:val="32"/>
          <w:szCs w:val="32"/>
        </w:rPr>
        <w:t>一般公共预算</w:t>
      </w:r>
      <w:r>
        <w:rPr>
          <w:rFonts w:ascii="楷体_GB2312" w:eastAsia="楷体_GB2312" w:hAnsi="宋体" w:cs="楷体_GB2312"/>
          <w:b/>
          <w:color w:val="000000"/>
          <w:kern w:val="0"/>
          <w:sz w:val="32"/>
          <w:szCs w:val="32"/>
        </w:rPr>
        <w:t>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D82D1A" w:rsidRDefault="00D82D1A" w:rsidP="00D82D1A">
      <w:pPr>
        <w:spacing w:line="560" w:lineRule="exact"/>
        <w:ind w:firstLineChars="200" w:firstLine="640"/>
        <w:rPr>
          <w:rFonts w:ascii="仿宋_GB2312" w:eastAsia="仿宋_GB2312" w:hAnsi="微软雅黑" w:cs="仿宋_GB2312"/>
          <w:color w:val="535353"/>
          <w:sz w:val="25"/>
          <w:szCs w:val="25"/>
        </w:rPr>
      </w:pPr>
      <w:r>
        <w:rPr>
          <w:rFonts w:ascii="仿宋_GB2312" w:eastAsia="仿宋_GB2312" w:hAnsi="仿宋_GB2312" w:cs="仿宋_GB2312" w:hint="eastAsia"/>
          <w:sz w:val="32"/>
          <w:szCs w:val="32"/>
        </w:rPr>
        <w:t>2021 年财政拨款支出76.22万元，占本年支出合计的27%。与上年相比，财政拨款支出增加23.68万元，</w:t>
      </w:r>
      <w:r>
        <w:rPr>
          <w:rFonts w:ascii="仿宋_GB2312" w:eastAsia="仿宋_GB2312" w:hAnsi="微软雅黑" w:cs="仿宋_GB2312" w:hint="eastAsia"/>
          <w:color w:val="535353"/>
          <w:sz w:val="25"/>
          <w:szCs w:val="25"/>
        </w:rPr>
        <w:t>23.68万元，主要原因为林业草原防灾减灾支出。</w:t>
      </w:r>
    </w:p>
    <w:p w:rsidR="00B47AB6" w:rsidRDefault="00B2239E">
      <w:pPr>
        <w:ind w:firstLineChars="200" w:firstLine="420"/>
        <w:jc w:val="left"/>
        <w:rPr>
          <w:rFonts w:ascii="仿宋_GB2312" w:eastAsia="仿宋_GB2312" w:hAnsi="仿宋_GB2312" w:cs="仿宋_GB2312"/>
          <w:sz w:val="32"/>
          <w:szCs w:val="32"/>
        </w:rPr>
      </w:pPr>
      <w:r>
        <w:rPr>
          <w:noProof/>
        </w:rPr>
        <w:drawing>
          <wp:inline distT="0" distB="0" distL="114300" distR="114300">
            <wp:extent cx="5151120" cy="3359150"/>
            <wp:effectExtent l="0" t="0" r="11430" b="1270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3" cstate="print"/>
                    <a:stretch>
                      <a:fillRect/>
                    </a:stretch>
                  </pic:blipFill>
                  <pic:spPr>
                    <a:xfrm>
                      <a:off x="0" y="0"/>
                      <a:ext cx="5151120" cy="3359150"/>
                    </a:xfrm>
                    <a:prstGeom prst="rect">
                      <a:avLst/>
                    </a:prstGeom>
                    <a:noFill/>
                    <a:ln>
                      <a:noFill/>
                    </a:ln>
                  </pic:spPr>
                </pic:pic>
              </a:graphicData>
            </a:graphic>
          </wp:inline>
        </w:drawing>
      </w:r>
    </w:p>
    <w:p w:rsidR="00B47AB6" w:rsidRDefault="00B2239E">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（二）一般公共预算</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D82D1A" w:rsidRDefault="00D82D1A" w:rsidP="00D82D1A">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lastRenderedPageBreak/>
        <w:t>（二）一般公共预算</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D82D1A" w:rsidRDefault="00D82D1A" w:rsidP="00D82D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2021 年财政拨款支出预算为76.20万元，支出决算为76.20万元，完成预算的100%。按照政府功能分类科目，其中： </w:t>
      </w:r>
    </w:p>
    <w:p w:rsidR="00D82D1A" w:rsidRDefault="00D82D1A" w:rsidP="00D82D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1.一般公共服务支出（类）财政事务（款）行政运行（项）。 </w:t>
      </w:r>
    </w:p>
    <w:p w:rsidR="00D82D1A" w:rsidRDefault="00D82D1A" w:rsidP="00D82D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预算为76.2万元，支出决算为76.2万元，完成预算的100%。决算数与预算数持平。</w:t>
      </w:r>
    </w:p>
    <w:p w:rsidR="00B47AB6" w:rsidRDefault="00B2239E">
      <w:pPr>
        <w:spacing w:line="560" w:lineRule="exact"/>
        <w:ind w:firstLineChars="200" w:firstLine="640"/>
        <w:rPr>
          <w:rFonts w:ascii="黑体" w:eastAsia="黑体" w:hAnsi="黑体" w:cs="黑体"/>
          <w:bCs/>
          <w:sz w:val="32"/>
          <w:szCs w:val="32"/>
        </w:rPr>
      </w:pPr>
      <w:r>
        <w:rPr>
          <w:rFonts w:ascii="黑体" w:eastAsia="黑体" w:hAnsi="黑体" w:cs="黑体" w:hint="eastAsia"/>
          <w:bCs/>
          <w:color w:val="000000"/>
          <w:kern w:val="0"/>
          <w:sz w:val="32"/>
          <w:szCs w:val="32"/>
        </w:rPr>
        <w:t xml:space="preserve">六、一般公共预算财政拨款基本支出决算情况说明 </w:t>
      </w:r>
    </w:p>
    <w:p w:rsidR="00D82D1A" w:rsidRPr="00D82D1A" w:rsidRDefault="00D82D1A" w:rsidP="00D82D1A">
      <w:pPr>
        <w:spacing w:line="560" w:lineRule="exact"/>
        <w:ind w:firstLineChars="200" w:firstLine="640"/>
        <w:rPr>
          <w:rFonts w:ascii="仿宋_GB2312" w:eastAsia="仿宋_GB2312" w:hAnsi="仿宋_GB2312" w:cs="仿宋_GB2312"/>
          <w:sz w:val="32"/>
          <w:szCs w:val="32"/>
        </w:rPr>
      </w:pPr>
      <w:r w:rsidRPr="00D82D1A">
        <w:rPr>
          <w:rFonts w:ascii="仿宋_GB2312" w:eastAsia="仿宋_GB2312" w:hAnsi="仿宋_GB2312" w:cs="仿宋_GB2312" w:hint="eastAsia"/>
          <w:sz w:val="32"/>
          <w:szCs w:val="32"/>
        </w:rPr>
        <w:t>2021年一般公共预算财政拨款基本支出76.2万元，包括：人员经费支出48.3万元，公用经费支出2.74万元。</w:t>
      </w:r>
    </w:p>
    <w:p w:rsidR="00D82D1A" w:rsidRPr="00D82D1A" w:rsidRDefault="00D82D1A" w:rsidP="00D82D1A">
      <w:pPr>
        <w:spacing w:line="560" w:lineRule="exact"/>
        <w:ind w:firstLineChars="200" w:firstLine="640"/>
        <w:rPr>
          <w:rFonts w:ascii="仿宋_GB2312" w:eastAsia="仿宋_GB2312" w:hAnsi="仿宋_GB2312" w:cs="仿宋_GB2312"/>
          <w:sz w:val="32"/>
          <w:szCs w:val="32"/>
        </w:rPr>
      </w:pPr>
      <w:r w:rsidRPr="00D82D1A">
        <w:rPr>
          <w:rFonts w:ascii="仿宋_GB2312" w:eastAsia="仿宋_GB2312" w:hAnsi="仿宋_GB2312" w:cs="仿宋_GB2312" w:hint="eastAsia"/>
          <w:sz w:val="32"/>
          <w:szCs w:val="32"/>
        </w:rPr>
        <w:t>人员经费48.3万元，主要包括基本工资支出18.5万元，津补贴支出2.2万元，绩效工资支出14.5万元，社会保障9.8万元，住房公积金3.8万元。</w:t>
      </w:r>
    </w:p>
    <w:p w:rsidR="00D82D1A" w:rsidRDefault="00D82D1A" w:rsidP="00D82D1A">
      <w:pPr>
        <w:spacing w:line="560" w:lineRule="exact"/>
        <w:ind w:firstLineChars="200" w:firstLine="640"/>
        <w:rPr>
          <w:rFonts w:ascii="仿宋_GB2312" w:eastAsia="仿宋_GB2312" w:hAnsi="仿宋_GB2312" w:cs="仿宋_GB2312"/>
          <w:sz w:val="32"/>
          <w:szCs w:val="32"/>
        </w:rPr>
      </w:pPr>
      <w:r w:rsidRPr="00D82D1A">
        <w:rPr>
          <w:rFonts w:ascii="仿宋_GB2312" w:eastAsia="仿宋_GB2312" w:hAnsi="仿宋_GB2312" w:cs="仿宋_GB2312" w:hint="eastAsia"/>
          <w:sz w:val="32"/>
          <w:szCs w:val="32"/>
        </w:rPr>
        <w:t>公用经费支出2.74万元万元，主要包括办公费2.74万元。</w:t>
      </w:r>
    </w:p>
    <w:p w:rsidR="00B47AB6" w:rsidRDefault="00B2239E" w:rsidP="00D82D1A">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七、一般公共预算财政拨款“三公”经费及会议费、培训费支出决算情况说明</w:t>
      </w:r>
    </w:p>
    <w:p w:rsidR="00D82D1A" w:rsidRDefault="00D82D1A" w:rsidP="00D82D1A">
      <w:pPr>
        <w:spacing w:line="560" w:lineRule="exact"/>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D82D1A" w:rsidRDefault="00D82D1A" w:rsidP="00D82D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（文字说明）</w:t>
      </w:r>
    </w:p>
    <w:p w:rsidR="00D82D1A" w:rsidRDefault="00D82D1A" w:rsidP="00D82D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示例：2021年“三公”经费财政拨款支出预算为1.5万元，支出决算为0.65万元，完成预算的43%。决算数</w:t>
      </w:r>
      <w:proofErr w:type="gramStart"/>
      <w:r>
        <w:rPr>
          <w:rFonts w:ascii="仿宋_GB2312" w:eastAsia="仿宋_GB2312" w:hAnsi="仿宋_GB2312" w:cs="仿宋_GB2312" w:hint="eastAsia"/>
          <w:sz w:val="32"/>
          <w:szCs w:val="32"/>
        </w:rPr>
        <w:t>较预算</w:t>
      </w:r>
      <w:proofErr w:type="gramEnd"/>
      <w:r>
        <w:rPr>
          <w:rFonts w:ascii="仿宋_GB2312" w:eastAsia="仿宋_GB2312" w:hAnsi="仿宋_GB2312" w:cs="仿宋_GB2312" w:hint="eastAsia"/>
          <w:sz w:val="32"/>
          <w:szCs w:val="32"/>
        </w:rPr>
        <w:t>数减少（增加）0.85万元，主要原因是公务车辆减少使用。</w:t>
      </w:r>
    </w:p>
    <w:p w:rsidR="00B47AB6" w:rsidRDefault="00B2239E">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D82D1A" w:rsidRDefault="00D82D1A" w:rsidP="00D82D1A">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D82D1A" w:rsidRDefault="00D82D1A" w:rsidP="00D82D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示例：2021年“三公”经费财政拨款支出决算中，因公出国（境）费支出决算0万元；公务用车购置费支出0万元，公务用车运行维护费支出决算0.65万元，占43%；公务接待费支出决算0万元，具体情况如下：</w:t>
      </w:r>
    </w:p>
    <w:p w:rsidR="00B47AB6" w:rsidRDefault="00B2239E">
      <w:pPr>
        <w:ind w:firstLineChars="200" w:firstLine="420"/>
        <w:rPr>
          <w:rFonts w:ascii="仿宋_GB2312" w:eastAsia="仿宋_GB2312" w:hAnsi="仿宋_GB2312" w:cs="仿宋_GB2312"/>
          <w:sz w:val="32"/>
          <w:szCs w:val="32"/>
        </w:rPr>
      </w:pPr>
      <w:r>
        <w:rPr>
          <w:noProof/>
        </w:rPr>
        <w:drawing>
          <wp:inline distT="0" distB="0" distL="114300" distR="114300">
            <wp:extent cx="4596130" cy="2767330"/>
            <wp:effectExtent l="0" t="0" r="13970" b="13970"/>
            <wp:docPr id="1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pic:cNvPicPr>
                      <a:picLocks noChangeAspect="1"/>
                    </pic:cNvPicPr>
                  </pic:nvPicPr>
                  <pic:blipFill>
                    <a:blip r:embed="rId14" cstate="print"/>
                    <a:stretch>
                      <a:fillRect/>
                    </a:stretch>
                  </pic:blipFill>
                  <pic:spPr>
                    <a:xfrm>
                      <a:off x="0" y="0"/>
                      <a:ext cx="4596130" cy="2767330"/>
                    </a:xfrm>
                    <a:prstGeom prst="rect">
                      <a:avLst/>
                    </a:prstGeom>
                    <a:noFill/>
                    <a:ln>
                      <a:noFill/>
                    </a:ln>
                  </pic:spPr>
                </pic:pic>
              </a:graphicData>
            </a:graphic>
          </wp:inline>
        </w:drawing>
      </w:r>
    </w:p>
    <w:p w:rsidR="00B47AB6" w:rsidRDefault="00B2239E">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1.因公出国（境）支出情况说明。</w:t>
      </w:r>
    </w:p>
    <w:p w:rsidR="00B47AB6" w:rsidRDefault="00B2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2021年因公出国（境）团组0个，0人次，预算为0万元，支出决算为0万元，完成预算的0%，决算数与预算数持平，主要原因是我单位无此项支出。</w:t>
      </w:r>
    </w:p>
    <w:p w:rsidR="00B47AB6" w:rsidRDefault="00B2239E">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2.公务用车购置费用支出情况说明。</w:t>
      </w:r>
    </w:p>
    <w:p w:rsidR="00B47AB6" w:rsidRDefault="00B2239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2021年购置车辆0台，预算为0万元，支出决算为0万元，完成预算的0%，决算数与预算数持平，主要原因是我单位无此项支出。</w:t>
      </w:r>
    </w:p>
    <w:p w:rsidR="00B47AB6" w:rsidRDefault="00B2239E">
      <w:pPr>
        <w:spacing w:line="560" w:lineRule="exact"/>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3.公务用车运行维护费用支出情况说明。</w:t>
      </w:r>
    </w:p>
    <w:p w:rsidR="00D82D1A" w:rsidRDefault="00D82D1A" w:rsidP="00D82D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示例：2021年公务用车运行维护费预算为1.5万元，支出决算为0.65万元（如没有支出填0），完成预算的43%，决算数</w:t>
      </w:r>
      <w:proofErr w:type="gramStart"/>
      <w:r>
        <w:rPr>
          <w:rFonts w:ascii="仿宋_GB2312" w:eastAsia="仿宋_GB2312" w:hAnsi="仿宋_GB2312" w:cs="仿宋_GB2312" w:hint="eastAsia"/>
          <w:sz w:val="32"/>
          <w:szCs w:val="32"/>
        </w:rPr>
        <w:t>较预算</w:t>
      </w:r>
      <w:proofErr w:type="gramEnd"/>
      <w:r>
        <w:rPr>
          <w:rFonts w:ascii="仿宋_GB2312" w:eastAsia="仿宋_GB2312" w:hAnsi="仿宋_GB2312" w:cs="仿宋_GB2312" w:hint="eastAsia"/>
          <w:sz w:val="32"/>
          <w:szCs w:val="32"/>
        </w:rPr>
        <w:t>数减少0.85万元，主要原因是减少公务车辆</w:t>
      </w:r>
      <w:r>
        <w:rPr>
          <w:rFonts w:ascii="仿宋_GB2312" w:eastAsia="仿宋_GB2312" w:hAnsi="仿宋_GB2312" w:cs="仿宋_GB2312" w:hint="eastAsia"/>
          <w:sz w:val="32"/>
          <w:szCs w:val="32"/>
        </w:rPr>
        <w:lastRenderedPageBreak/>
        <w:t>使用。</w:t>
      </w:r>
    </w:p>
    <w:p w:rsidR="00B47AB6" w:rsidRDefault="00B2239E">
      <w:pPr>
        <w:spacing w:line="560" w:lineRule="exact"/>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4.公务接待费支出情况说明。</w:t>
      </w:r>
    </w:p>
    <w:p w:rsidR="00D82D1A" w:rsidRDefault="00D82D1A" w:rsidP="00D82D1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无此项内容</w:t>
      </w:r>
    </w:p>
    <w:p w:rsidR="00B47AB6" w:rsidRDefault="00B2239E">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D82D1A" w:rsidRPr="00D82D1A" w:rsidRDefault="00D82D1A" w:rsidP="00D82D1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无此项内容</w:t>
      </w:r>
    </w:p>
    <w:p w:rsidR="00D82D1A" w:rsidRDefault="00D82D1A" w:rsidP="00D82D1A">
      <w:pPr>
        <w:spacing w:line="560" w:lineRule="exact"/>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w:t>
      </w:r>
      <w:r w:rsidR="00B2239E">
        <w:rPr>
          <w:rFonts w:ascii="楷体_GB2312" w:eastAsia="楷体_GB2312" w:hAnsi="宋体" w:cs="楷体_GB2312" w:hint="eastAsia"/>
          <w:b/>
          <w:color w:val="000000"/>
          <w:kern w:val="0"/>
          <w:sz w:val="32"/>
          <w:szCs w:val="32"/>
        </w:rPr>
        <w:t>会议费支出情况说明。</w:t>
      </w:r>
    </w:p>
    <w:p w:rsidR="00B47AB6" w:rsidRPr="00D82D1A" w:rsidRDefault="00D82D1A" w:rsidP="00D82D1A">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无此项内容</w:t>
      </w:r>
      <w:r w:rsidR="00B2239E">
        <w:rPr>
          <w:rFonts w:ascii="仿宋_GB2312" w:eastAsia="仿宋_GB2312" w:hAnsi="仿宋_GB2312" w:cs="仿宋_GB2312" w:hint="eastAsia"/>
          <w:color w:val="000000"/>
          <w:kern w:val="0"/>
          <w:sz w:val="32"/>
          <w:szCs w:val="32"/>
        </w:rPr>
        <w:t>。</w:t>
      </w:r>
    </w:p>
    <w:p w:rsidR="00B47AB6" w:rsidRDefault="00B2239E">
      <w:pPr>
        <w:spacing w:line="560" w:lineRule="exact"/>
        <w:ind w:firstLineChars="200" w:firstLine="640"/>
        <w:rPr>
          <w:rFonts w:ascii="黑体" w:eastAsia="黑体" w:hAnsi="黑体"/>
          <w:bCs/>
          <w:color w:val="000000"/>
          <w:kern w:val="0"/>
          <w:sz w:val="32"/>
          <w:szCs w:val="32"/>
        </w:rPr>
      </w:pPr>
      <w:r>
        <w:rPr>
          <w:rFonts w:ascii="黑体" w:eastAsia="黑体" w:hAnsi="黑体" w:hint="eastAsia"/>
          <w:bCs/>
          <w:color w:val="000000"/>
          <w:kern w:val="0"/>
          <w:sz w:val="32"/>
          <w:szCs w:val="32"/>
        </w:rPr>
        <w:t xml:space="preserve">八、政府性基金预算财政拨款收入支出情况说明 </w:t>
      </w:r>
    </w:p>
    <w:p w:rsidR="00B47AB6" w:rsidRDefault="00B2239E">
      <w:pPr>
        <w:spacing w:line="56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本部门无政府性基金决算收支，并已公开空表。</w:t>
      </w:r>
    </w:p>
    <w:p w:rsidR="00B47AB6" w:rsidRDefault="00B2239E">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九、国有资本经营财政拨款支出情况说明</w:t>
      </w:r>
    </w:p>
    <w:p w:rsidR="00B47AB6" w:rsidRDefault="00B2239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本部门无国有资本经营决算拨款收支，并已公开空表。</w:t>
      </w:r>
    </w:p>
    <w:p w:rsidR="00B47AB6" w:rsidRDefault="00B2239E">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十、机关运行经费支出情况说明。</w:t>
      </w:r>
    </w:p>
    <w:p w:rsidR="00D82D1A" w:rsidRDefault="00D82D1A" w:rsidP="00D82D1A">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无此项内容</w:t>
      </w:r>
    </w:p>
    <w:p w:rsidR="00B47AB6" w:rsidRDefault="00B2239E">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十一、政府采购支出情况说明</w:t>
      </w:r>
    </w:p>
    <w:p w:rsidR="00B47AB6" w:rsidRDefault="00B2239E">
      <w:pPr>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2021年本部门政府采购支出总额共0万元，其中政府采购货物类支出0万元、政府采购服务类支出0万元、政府采购工程类支出0万元。授予中小企业合同金额0万元，占政府采购支出总额的0%，其中：授予小</w:t>
      </w:r>
      <w:proofErr w:type="gramStart"/>
      <w:r>
        <w:rPr>
          <w:rFonts w:ascii="仿宋_GB2312" w:eastAsia="仿宋_GB2312" w:hAnsi="仿宋_GB2312" w:cs="仿宋_GB2312" w:hint="eastAsia"/>
          <w:sz w:val="32"/>
          <w:szCs w:val="32"/>
        </w:rPr>
        <w:t>微企业</w:t>
      </w:r>
      <w:proofErr w:type="gramEnd"/>
      <w:r>
        <w:rPr>
          <w:rFonts w:ascii="仿宋_GB2312" w:eastAsia="仿宋_GB2312" w:hAnsi="仿宋_GB2312" w:cs="仿宋_GB2312" w:hint="eastAsia"/>
          <w:sz w:val="32"/>
          <w:szCs w:val="32"/>
        </w:rPr>
        <w:t>合同金额0万元，占政府采购支出总额的0%。</w:t>
      </w:r>
    </w:p>
    <w:p w:rsidR="00B47AB6" w:rsidRDefault="00B2239E">
      <w:p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十二、国有资产占用及购置情况说明</w:t>
      </w:r>
    </w:p>
    <w:p w:rsidR="00B47AB6" w:rsidRDefault="00D82D1A">
      <w:pPr>
        <w:spacing w:line="560" w:lineRule="exact"/>
        <w:ind w:firstLine="640"/>
        <w:rPr>
          <w:rFonts w:ascii="仿宋_GB2312" w:eastAsia="仿宋_GB2312" w:hAnsi="仿宋_GB2312" w:cs="仿宋_GB2312"/>
          <w:sz w:val="32"/>
          <w:szCs w:val="32"/>
        </w:rPr>
      </w:pPr>
      <w:r w:rsidRPr="00D82D1A">
        <w:rPr>
          <w:rFonts w:ascii="仿宋_GB2312" w:eastAsia="仿宋_GB2312" w:hAnsi="仿宋_GB2312" w:cs="仿宋_GB2312" w:hint="eastAsia"/>
          <w:sz w:val="32"/>
          <w:szCs w:val="32"/>
        </w:rPr>
        <w:t>截至2021年末，本单位共执法执勤用车1辆。单价20万元以上的通用设备0台（套）；单价50万元以上的专用设备0台（套）。购置单价20万元以上的通用设备0台（套）；购置单价50万元以上的专用设备0台（套）。</w:t>
      </w:r>
    </w:p>
    <w:p w:rsidR="00B47AB6" w:rsidRDefault="00B2239E">
      <w:pPr>
        <w:numPr>
          <w:ilvl w:val="0"/>
          <w:numId w:val="4"/>
        </w:numPr>
        <w:spacing w:line="560" w:lineRule="exact"/>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lastRenderedPageBreak/>
        <w:t>预算绩效情况说明</w:t>
      </w:r>
    </w:p>
    <w:p w:rsidR="00B47AB6" w:rsidRDefault="00B2239E">
      <w:pPr>
        <w:spacing w:line="560" w:lineRule="exact"/>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（一）</w:t>
      </w:r>
      <w:r>
        <w:rPr>
          <w:rFonts w:ascii="楷体_GB2312" w:eastAsia="楷体_GB2312" w:hAnsi="宋体" w:cs="楷体_GB2312"/>
          <w:b/>
          <w:color w:val="000000"/>
          <w:kern w:val="0"/>
          <w:sz w:val="32"/>
          <w:szCs w:val="32"/>
        </w:rPr>
        <w:t>预算绩效管理工作开展情况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B47AB6" w:rsidRDefault="00B2239E">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本部门</w:t>
      </w:r>
      <w:r>
        <w:rPr>
          <w:rFonts w:ascii="黑体" w:eastAsia="黑体" w:hAnsi="黑体" w:hint="eastAsia"/>
          <w:color w:val="000000"/>
          <w:kern w:val="0"/>
          <w:sz w:val="32"/>
          <w:szCs w:val="32"/>
        </w:rPr>
        <w:t>2021</w:t>
      </w:r>
      <w:r>
        <w:rPr>
          <w:rFonts w:ascii="仿宋_GB2312" w:eastAsia="仿宋_GB2312" w:hAnsi="仿宋_GB2312" w:cs="仿宋_GB2312" w:hint="eastAsia"/>
          <w:kern w:val="0"/>
          <w:sz w:val="32"/>
          <w:szCs w:val="32"/>
        </w:rPr>
        <w:t>年未开展绩效管理工作，计划在下年度探索开展绩效管理工作。</w:t>
      </w:r>
    </w:p>
    <w:p w:rsidR="00B47AB6" w:rsidRDefault="00B2239E">
      <w:pPr>
        <w:spacing w:line="560" w:lineRule="exact"/>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（二）部门决算</w:t>
      </w:r>
      <w:proofErr w:type="gramStart"/>
      <w:r>
        <w:rPr>
          <w:rFonts w:ascii="楷体_GB2312" w:eastAsia="楷体_GB2312" w:hAnsi="宋体" w:cs="楷体_GB2312" w:hint="eastAsia"/>
          <w:b/>
          <w:color w:val="000000"/>
          <w:kern w:val="0"/>
          <w:sz w:val="32"/>
          <w:szCs w:val="32"/>
        </w:rPr>
        <w:t>中项目</w:t>
      </w:r>
      <w:proofErr w:type="gramEnd"/>
      <w:r>
        <w:rPr>
          <w:rFonts w:ascii="楷体_GB2312" w:eastAsia="楷体_GB2312" w:hAnsi="宋体" w:cs="楷体_GB2312" w:hint="eastAsia"/>
          <w:b/>
          <w:color w:val="000000"/>
          <w:kern w:val="0"/>
          <w:sz w:val="32"/>
          <w:szCs w:val="32"/>
        </w:rPr>
        <w:t>绩效自评结果</w:t>
      </w:r>
      <w:r>
        <w:rPr>
          <w:rFonts w:ascii="楷体_GB2312" w:eastAsia="楷体_GB2312" w:hAnsi="宋体" w:cs="楷体_GB2312"/>
          <w:b/>
          <w:color w:val="000000"/>
          <w:kern w:val="0"/>
          <w:sz w:val="32"/>
          <w:szCs w:val="32"/>
        </w:rPr>
        <w:t>。</w:t>
      </w:r>
    </w:p>
    <w:p w:rsidR="00B47AB6" w:rsidRDefault="00B2239E">
      <w:pPr>
        <w:spacing w:line="560" w:lineRule="exact"/>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本部门</w:t>
      </w:r>
      <w:r>
        <w:rPr>
          <w:rFonts w:ascii="黑体" w:eastAsia="黑体" w:hAnsi="黑体" w:hint="eastAsia"/>
          <w:color w:val="000000"/>
          <w:kern w:val="0"/>
          <w:sz w:val="32"/>
          <w:szCs w:val="32"/>
        </w:rPr>
        <w:t>2021</w:t>
      </w:r>
      <w:r>
        <w:rPr>
          <w:rFonts w:ascii="仿宋_GB2312" w:eastAsia="仿宋_GB2312" w:hAnsi="仿宋_GB2312" w:cs="仿宋_GB2312" w:hint="eastAsia"/>
          <w:kern w:val="0"/>
          <w:sz w:val="32"/>
          <w:szCs w:val="32"/>
        </w:rPr>
        <w:t>年未开展绩效管理工作，计划在以后年度开展绩效管理工作。</w:t>
      </w:r>
    </w:p>
    <w:p w:rsidR="00B47AB6" w:rsidRDefault="00B2239E">
      <w:pPr>
        <w:spacing w:line="560" w:lineRule="exact"/>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（三）部门整体支出绩效自评结果</w:t>
      </w:r>
      <w:r>
        <w:rPr>
          <w:rFonts w:ascii="楷体_GB2312" w:eastAsia="楷体_GB2312" w:hAnsi="宋体" w:cs="楷体_GB2312"/>
          <w:b/>
          <w:color w:val="000000"/>
          <w:kern w:val="0"/>
          <w:sz w:val="32"/>
          <w:szCs w:val="32"/>
        </w:rPr>
        <w:t>。</w:t>
      </w:r>
    </w:p>
    <w:p w:rsidR="00B47AB6" w:rsidRDefault="00B2239E">
      <w:pPr>
        <w:spacing w:line="560" w:lineRule="exact"/>
        <w:ind w:firstLineChars="100" w:firstLine="320"/>
        <w:jc w:val="left"/>
        <w:rPr>
          <w:rFonts w:ascii="楷体_GB2312" w:eastAsia="楷体_GB2312" w:hAnsi="宋体" w:cs="楷体_GB2312"/>
          <w:b/>
          <w:color w:val="000000"/>
          <w:kern w:val="0"/>
          <w:sz w:val="32"/>
          <w:szCs w:val="32"/>
        </w:rPr>
      </w:pPr>
      <w:r>
        <w:rPr>
          <w:rFonts w:ascii="仿宋_GB2312" w:eastAsia="仿宋_GB2312" w:hAnsi="仿宋_GB2312" w:cs="仿宋_GB2312" w:hint="eastAsia"/>
          <w:kern w:val="0"/>
          <w:sz w:val="32"/>
          <w:szCs w:val="32"/>
        </w:rPr>
        <w:t>本部门</w:t>
      </w:r>
      <w:r>
        <w:rPr>
          <w:rFonts w:ascii="黑体" w:eastAsia="黑体" w:hAnsi="黑体" w:hint="eastAsia"/>
          <w:color w:val="000000"/>
          <w:kern w:val="0"/>
          <w:sz w:val="32"/>
          <w:szCs w:val="32"/>
        </w:rPr>
        <w:t>2021</w:t>
      </w:r>
      <w:r>
        <w:rPr>
          <w:rFonts w:ascii="仿宋_GB2312" w:eastAsia="仿宋_GB2312" w:hAnsi="仿宋_GB2312" w:cs="仿宋_GB2312" w:hint="eastAsia"/>
          <w:kern w:val="0"/>
          <w:sz w:val="32"/>
          <w:szCs w:val="32"/>
        </w:rPr>
        <w:t>年未开展绩效管理工作，计划在以后年度开展绩效管理工作。</w:t>
      </w:r>
    </w:p>
    <w:p w:rsidR="00B47AB6" w:rsidRDefault="00B47AB6">
      <w:pPr>
        <w:spacing w:line="560" w:lineRule="exact"/>
        <w:jc w:val="left"/>
        <w:rPr>
          <w:rFonts w:ascii="楷体_GB2312" w:eastAsia="楷体_GB2312" w:hAnsi="宋体" w:cs="楷体_GB2312"/>
          <w:b/>
          <w:color w:val="000000"/>
          <w:kern w:val="0"/>
          <w:sz w:val="32"/>
          <w:szCs w:val="32"/>
        </w:rPr>
      </w:pPr>
    </w:p>
    <w:p w:rsidR="00B47AB6" w:rsidRDefault="00B2239E">
      <w:pPr>
        <w:spacing w:line="560" w:lineRule="exact"/>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 xml:space="preserve">   </w:t>
      </w:r>
    </w:p>
    <w:p w:rsidR="00192FCF" w:rsidRDefault="00192FCF">
      <w:pPr>
        <w:spacing w:line="560" w:lineRule="exact"/>
        <w:jc w:val="left"/>
        <w:rPr>
          <w:rFonts w:ascii="楷体_GB2312" w:eastAsia="楷体_GB2312" w:hAnsi="宋体" w:cs="楷体_GB2312"/>
          <w:b/>
          <w:color w:val="000000"/>
          <w:kern w:val="0"/>
          <w:sz w:val="32"/>
          <w:szCs w:val="32"/>
        </w:rPr>
      </w:pPr>
    </w:p>
    <w:p w:rsidR="00192FCF" w:rsidRDefault="00192FCF">
      <w:pPr>
        <w:spacing w:line="560" w:lineRule="exact"/>
        <w:jc w:val="left"/>
        <w:rPr>
          <w:rFonts w:ascii="楷体_GB2312" w:eastAsia="楷体_GB2312" w:hAnsi="宋体" w:cs="楷体_GB2312"/>
          <w:b/>
          <w:color w:val="000000"/>
          <w:kern w:val="0"/>
          <w:sz w:val="32"/>
          <w:szCs w:val="32"/>
        </w:rPr>
      </w:pPr>
    </w:p>
    <w:p w:rsidR="00192FCF" w:rsidRDefault="00192FCF">
      <w:pPr>
        <w:spacing w:line="560" w:lineRule="exact"/>
        <w:jc w:val="left"/>
        <w:rPr>
          <w:rFonts w:ascii="楷体_GB2312" w:eastAsia="楷体_GB2312" w:hAnsi="宋体" w:cs="楷体_GB2312"/>
          <w:b/>
          <w:color w:val="000000"/>
          <w:kern w:val="0"/>
          <w:sz w:val="32"/>
          <w:szCs w:val="32"/>
        </w:rPr>
      </w:pPr>
    </w:p>
    <w:p w:rsidR="00192FCF" w:rsidRDefault="00192FCF">
      <w:pPr>
        <w:spacing w:line="560" w:lineRule="exact"/>
        <w:jc w:val="left"/>
        <w:rPr>
          <w:rFonts w:ascii="楷体_GB2312" w:eastAsia="楷体_GB2312" w:hAnsi="宋体" w:cs="楷体_GB2312"/>
          <w:b/>
          <w:color w:val="000000"/>
          <w:kern w:val="0"/>
          <w:sz w:val="32"/>
          <w:szCs w:val="32"/>
        </w:rPr>
      </w:pPr>
    </w:p>
    <w:p w:rsidR="00192FCF" w:rsidRDefault="00192FCF">
      <w:pPr>
        <w:spacing w:line="560" w:lineRule="exact"/>
        <w:jc w:val="left"/>
        <w:rPr>
          <w:rFonts w:ascii="楷体_GB2312" w:eastAsia="楷体_GB2312" w:hAnsi="宋体" w:cs="楷体_GB2312"/>
          <w:b/>
          <w:color w:val="000000"/>
          <w:kern w:val="0"/>
          <w:sz w:val="32"/>
          <w:szCs w:val="32"/>
        </w:rPr>
      </w:pPr>
    </w:p>
    <w:p w:rsidR="00192FCF" w:rsidRDefault="00192FCF">
      <w:pPr>
        <w:spacing w:line="560" w:lineRule="exact"/>
        <w:jc w:val="left"/>
        <w:rPr>
          <w:rFonts w:ascii="楷体_GB2312" w:eastAsia="楷体_GB2312" w:hAnsi="宋体" w:cs="楷体_GB2312"/>
          <w:b/>
          <w:color w:val="000000"/>
          <w:kern w:val="0"/>
          <w:sz w:val="32"/>
          <w:szCs w:val="32"/>
        </w:rPr>
      </w:pPr>
    </w:p>
    <w:p w:rsidR="00192FCF" w:rsidRDefault="00192FCF">
      <w:pPr>
        <w:spacing w:line="560" w:lineRule="exact"/>
        <w:jc w:val="left"/>
        <w:rPr>
          <w:rFonts w:ascii="楷体_GB2312" w:eastAsia="楷体_GB2312" w:hAnsi="宋体" w:cs="楷体_GB2312"/>
          <w:b/>
          <w:color w:val="000000"/>
          <w:kern w:val="0"/>
          <w:sz w:val="32"/>
          <w:szCs w:val="32"/>
        </w:rPr>
      </w:pPr>
    </w:p>
    <w:p w:rsidR="00192FCF" w:rsidRDefault="00192FCF">
      <w:pPr>
        <w:spacing w:line="560" w:lineRule="exact"/>
        <w:jc w:val="left"/>
        <w:rPr>
          <w:rFonts w:ascii="楷体_GB2312" w:eastAsia="楷体_GB2312" w:hAnsi="宋体" w:cs="楷体_GB2312"/>
          <w:b/>
          <w:color w:val="000000"/>
          <w:kern w:val="0"/>
          <w:sz w:val="32"/>
          <w:szCs w:val="32"/>
        </w:rPr>
      </w:pPr>
    </w:p>
    <w:p w:rsidR="00192FCF" w:rsidRDefault="00192FCF">
      <w:pPr>
        <w:spacing w:line="560" w:lineRule="exact"/>
        <w:jc w:val="left"/>
        <w:rPr>
          <w:rFonts w:ascii="楷体_GB2312" w:eastAsia="楷体_GB2312" w:hAnsi="宋体" w:cs="楷体_GB2312"/>
          <w:b/>
          <w:color w:val="000000"/>
          <w:kern w:val="0"/>
          <w:sz w:val="32"/>
          <w:szCs w:val="32"/>
        </w:rPr>
      </w:pPr>
    </w:p>
    <w:p w:rsidR="00192FCF" w:rsidRDefault="00192FCF">
      <w:pPr>
        <w:spacing w:line="560" w:lineRule="exact"/>
        <w:jc w:val="left"/>
        <w:rPr>
          <w:rFonts w:ascii="楷体_GB2312" w:eastAsia="楷体_GB2312" w:hAnsi="宋体" w:cs="楷体_GB2312"/>
          <w:b/>
          <w:color w:val="000000"/>
          <w:kern w:val="0"/>
          <w:sz w:val="32"/>
          <w:szCs w:val="32"/>
        </w:rPr>
      </w:pPr>
    </w:p>
    <w:p w:rsidR="00192FCF" w:rsidRDefault="00192FCF">
      <w:pPr>
        <w:spacing w:line="560" w:lineRule="exact"/>
        <w:jc w:val="left"/>
        <w:rPr>
          <w:rFonts w:ascii="楷体_GB2312" w:eastAsia="楷体_GB2312" w:hAnsi="宋体" w:cs="楷体_GB2312"/>
          <w:b/>
          <w:color w:val="000000"/>
          <w:kern w:val="0"/>
          <w:sz w:val="32"/>
          <w:szCs w:val="32"/>
        </w:rPr>
      </w:pPr>
    </w:p>
    <w:p w:rsidR="00192FCF" w:rsidRDefault="00192FCF">
      <w:pPr>
        <w:spacing w:line="560" w:lineRule="exact"/>
        <w:jc w:val="left"/>
        <w:rPr>
          <w:rFonts w:ascii="楷体_GB2312" w:eastAsia="楷体_GB2312" w:hAnsi="宋体" w:cs="楷体_GB2312"/>
          <w:b/>
          <w:color w:val="000000"/>
          <w:kern w:val="0"/>
          <w:sz w:val="32"/>
          <w:szCs w:val="32"/>
        </w:rPr>
      </w:pPr>
    </w:p>
    <w:p w:rsidR="00192FCF" w:rsidRDefault="00192FCF">
      <w:pPr>
        <w:spacing w:line="560" w:lineRule="exact"/>
        <w:jc w:val="left"/>
        <w:rPr>
          <w:rFonts w:ascii="楷体_GB2312" w:eastAsia="楷体_GB2312" w:hAnsi="宋体" w:cs="楷体_GB2312"/>
          <w:b/>
          <w:color w:val="000000"/>
          <w:kern w:val="0"/>
          <w:sz w:val="32"/>
          <w:szCs w:val="32"/>
        </w:rPr>
      </w:pPr>
    </w:p>
    <w:tbl>
      <w:tblPr>
        <w:tblW w:w="8886" w:type="dxa"/>
        <w:tblLayout w:type="fixed"/>
        <w:tblCellMar>
          <w:left w:w="0" w:type="dxa"/>
          <w:right w:w="0" w:type="dxa"/>
        </w:tblCellMar>
        <w:tblLook w:val="04A0"/>
      </w:tblPr>
      <w:tblGrid>
        <w:gridCol w:w="301"/>
        <w:gridCol w:w="227"/>
        <w:gridCol w:w="167"/>
        <w:gridCol w:w="461"/>
        <w:gridCol w:w="290"/>
        <w:gridCol w:w="899"/>
        <w:gridCol w:w="1251"/>
        <w:gridCol w:w="636"/>
        <w:gridCol w:w="1231"/>
        <w:gridCol w:w="51"/>
        <w:gridCol w:w="624"/>
        <w:gridCol w:w="349"/>
        <w:gridCol w:w="284"/>
        <w:gridCol w:w="86"/>
        <w:gridCol w:w="348"/>
        <w:gridCol w:w="382"/>
        <w:gridCol w:w="253"/>
        <w:gridCol w:w="219"/>
        <w:gridCol w:w="667"/>
        <w:gridCol w:w="160"/>
      </w:tblGrid>
      <w:tr w:rsidR="00B47AB6" w:rsidTr="007F7689">
        <w:trPr>
          <w:trHeight w:val="108"/>
        </w:trPr>
        <w:tc>
          <w:tcPr>
            <w:tcW w:w="8885" w:type="dxa"/>
            <w:gridSpan w:val="20"/>
            <w:tcBorders>
              <w:top w:val="nil"/>
              <w:left w:val="nil"/>
              <w:bottom w:val="nil"/>
              <w:right w:val="nil"/>
            </w:tcBorders>
            <w:tcMar>
              <w:top w:w="12" w:type="dxa"/>
              <w:left w:w="12" w:type="dxa"/>
              <w:right w:w="12" w:type="dxa"/>
            </w:tcMar>
            <w:vAlign w:val="center"/>
          </w:tcPr>
          <w:p w:rsidR="00B47AB6" w:rsidRDefault="00B2239E">
            <w:pPr>
              <w:widowControl/>
              <w:spacing w:line="580" w:lineRule="exact"/>
              <w:jc w:val="center"/>
              <w:textAlignment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t>市级预算（项目）绩效目标自评表</w:t>
            </w:r>
          </w:p>
        </w:tc>
      </w:tr>
      <w:tr w:rsidR="00B47AB6" w:rsidTr="007F7689">
        <w:trPr>
          <w:trHeight w:val="108"/>
        </w:trPr>
        <w:tc>
          <w:tcPr>
            <w:tcW w:w="8885" w:type="dxa"/>
            <w:gridSpan w:val="20"/>
            <w:tcBorders>
              <w:top w:val="nil"/>
              <w:left w:val="nil"/>
              <w:bottom w:val="single" w:sz="4" w:space="0" w:color="000000"/>
              <w:right w:val="nil"/>
            </w:tcBorders>
            <w:tcMar>
              <w:top w:w="12" w:type="dxa"/>
              <w:left w:w="12" w:type="dxa"/>
              <w:right w:w="12" w:type="dxa"/>
            </w:tcMar>
            <w:vAlign w:val="center"/>
          </w:tcPr>
          <w:p w:rsidR="00B47AB6" w:rsidRDefault="00B2239E">
            <w:pPr>
              <w:widowControl/>
              <w:spacing w:line="240" w:lineRule="exact"/>
              <w:jc w:val="center"/>
              <w:textAlignment w:val="center"/>
              <w:rPr>
                <w:rFonts w:ascii="宋体" w:hAnsi="宋体" w:cs="宋体"/>
                <w:color w:val="000000"/>
                <w:sz w:val="22"/>
                <w:szCs w:val="22"/>
              </w:rPr>
            </w:pPr>
            <w:r>
              <w:rPr>
                <w:rFonts w:ascii="宋体" w:hAnsi="宋体" w:cs="宋体" w:hint="eastAsia"/>
                <w:color w:val="000000"/>
                <w:kern w:val="0"/>
                <w:sz w:val="22"/>
                <w:szCs w:val="22"/>
              </w:rPr>
              <w:t>（2021年度）</w:t>
            </w:r>
          </w:p>
        </w:tc>
      </w:tr>
      <w:tr w:rsidR="00B47AB6" w:rsidTr="007F7689">
        <w:trPr>
          <w:trHeight w:val="108"/>
        </w:trPr>
        <w:tc>
          <w:tcPr>
            <w:tcW w:w="2345"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专项（项目）名称</w:t>
            </w:r>
          </w:p>
        </w:tc>
        <w:tc>
          <w:tcPr>
            <w:tcW w:w="6540" w:type="dxa"/>
            <w:gridSpan w:val="1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（部门预算项目或专项名称）</w:t>
            </w:r>
          </w:p>
        </w:tc>
      </w:tr>
      <w:tr w:rsidR="00B47AB6" w:rsidTr="007F7689">
        <w:trPr>
          <w:trHeight w:val="108"/>
        </w:trPr>
        <w:tc>
          <w:tcPr>
            <w:tcW w:w="2345"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市级主管部门</w:t>
            </w:r>
          </w:p>
        </w:tc>
        <w:tc>
          <w:tcPr>
            <w:tcW w:w="311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实施单位</w:t>
            </w:r>
          </w:p>
        </w:tc>
        <w:tc>
          <w:tcPr>
            <w:tcW w:w="211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2345" w:type="dxa"/>
            <w:gridSpan w:val="6"/>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项目资金（万元）</w:t>
            </w: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全年预算数（A）</w:t>
            </w:r>
          </w:p>
        </w:tc>
        <w:tc>
          <w:tcPr>
            <w:tcW w:w="2377"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全年执行数（B）</w:t>
            </w:r>
          </w:p>
        </w:tc>
        <w:tc>
          <w:tcPr>
            <w:tcW w:w="104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执行率（B/A）</w:t>
            </w:r>
          </w:p>
        </w:tc>
      </w:tr>
      <w:tr w:rsidR="00B47AB6" w:rsidTr="007F7689">
        <w:trPr>
          <w:trHeight w:val="108"/>
        </w:trPr>
        <w:tc>
          <w:tcPr>
            <w:tcW w:w="2345"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年度资金总额：</w:t>
            </w: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2377"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04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2345"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其中:市级财政资金</w:t>
            </w: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2377"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04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2345"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 xml:space="preserve"> 其他资金</w:t>
            </w: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2377"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04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2345" w:type="dxa"/>
            <w:gridSpan w:val="6"/>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textAlignment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2377" w:type="dxa"/>
            <w:gridSpan w:val="8"/>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045"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 xml:space="preserve">年度总体目标 </w:t>
            </w:r>
          </w:p>
        </w:tc>
        <w:tc>
          <w:tcPr>
            <w:tcW w:w="493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年初设定目标</w:t>
            </w:r>
          </w:p>
        </w:tc>
        <w:tc>
          <w:tcPr>
            <w:tcW w:w="3422" w:type="dxa"/>
            <w:gridSpan w:val="1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全年实际完成情况</w:t>
            </w: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4935"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3422" w:type="dxa"/>
            <w:gridSpan w:val="1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绩</w:t>
            </w:r>
            <w:proofErr w:type="gramEnd"/>
          </w:p>
          <w:p w:rsidR="00B47AB6" w:rsidRDefault="00B47AB6">
            <w:pPr>
              <w:spacing w:line="220" w:lineRule="exact"/>
              <w:jc w:val="center"/>
              <w:textAlignment w:val="center"/>
              <w:rPr>
                <w:rFonts w:ascii="宋体" w:hAnsi="宋体" w:cs="宋体"/>
                <w:color w:val="000000"/>
                <w:kern w:val="0"/>
                <w:szCs w:val="21"/>
              </w:rPr>
            </w:pPr>
          </w:p>
          <w:p w:rsidR="00B47AB6" w:rsidRDefault="00B2239E">
            <w:pPr>
              <w:spacing w:line="220" w:lineRule="exact"/>
              <w:jc w:val="center"/>
              <w:textAlignment w:val="center"/>
              <w:rPr>
                <w:rFonts w:ascii="宋体" w:hAnsi="宋体" w:cs="宋体"/>
                <w:color w:val="000000"/>
                <w:kern w:val="0"/>
                <w:szCs w:val="21"/>
              </w:rPr>
            </w:pPr>
            <w:proofErr w:type="gramStart"/>
            <w:r>
              <w:rPr>
                <w:rFonts w:ascii="宋体" w:hAnsi="宋体" w:cs="宋体" w:hint="eastAsia"/>
                <w:color w:val="000000"/>
                <w:kern w:val="0"/>
                <w:szCs w:val="21"/>
              </w:rPr>
              <w:t>效</w:t>
            </w:r>
            <w:proofErr w:type="gramEnd"/>
          </w:p>
          <w:p w:rsidR="00B47AB6" w:rsidRDefault="00B47AB6">
            <w:pPr>
              <w:spacing w:line="220" w:lineRule="exact"/>
              <w:jc w:val="center"/>
              <w:textAlignment w:val="center"/>
              <w:rPr>
                <w:rFonts w:ascii="宋体" w:hAnsi="宋体" w:cs="宋体"/>
                <w:color w:val="000000"/>
                <w:kern w:val="0"/>
                <w:szCs w:val="21"/>
              </w:rPr>
            </w:pPr>
          </w:p>
          <w:p w:rsidR="00B47AB6" w:rsidRDefault="00B2239E">
            <w:pPr>
              <w:spacing w:line="220" w:lineRule="exact"/>
              <w:jc w:val="center"/>
              <w:textAlignment w:val="center"/>
              <w:rPr>
                <w:rFonts w:ascii="宋体" w:hAnsi="宋体" w:cs="宋体"/>
                <w:color w:val="000000"/>
                <w:kern w:val="0"/>
                <w:szCs w:val="21"/>
              </w:rPr>
            </w:pPr>
            <w:r>
              <w:rPr>
                <w:rFonts w:ascii="宋体" w:hAnsi="宋体" w:cs="宋体" w:hint="eastAsia"/>
                <w:color w:val="000000"/>
                <w:kern w:val="0"/>
                <w:szCs w:val="21"/>
              </w:rPr>
              <w:t>指</w:t>
            </w:r>
          </w:p>
          <w:p w:rsidR="00B47AB6" w:rsidRDefault="00B47AB6">
            <w:pPr>
              <w:spacing w:line="220" w:lineRule="exact"/>
              <w:jc w:val="center"/>
              <w:textAlignment w:val="center"/>
              <w:rPr>
                <w:rFonts w:ascii="宋体" w:hAnsi="宋体" w:cs="宋体"/>
                <w:color w:val="000000"/>
                <w:kern w:val="0"/>
                <w:szCs w:val="21"/>
              </w:rPr>
            </w:pPr>
          </w:p>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标</w:t>
            </w:r>
          </w:p>
        </w:tc>
        <w:tc>
          <w:tcPr>
            <w:tcW w:w="62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一级指标</w:t>
            </w:r>
          </w:p>
        </w:tc>
        <w:tc>
          <w:tcPr>
            <w:tcW w:w="118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二级指标</w:t>
            </w:r>
          </w:p>
        </w:tc>
        <w:tc>
          <w:tcPr>
            <w:tcW w:w="311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三级指标</w:t>
            </w: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 xml:space="preserve">年度指标值 </w:t>
            </w: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全年完成值</w:t>
            </w: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40" w:lineRule="exact"/>
              <w:jc w:val="center"/>
              <w:textAlignment w:val="center"/>
              <w:rPr>
                <w:rFonts w:ascii="宋体" w:hAnsi="宋体" w:cs="宋体"/>
                <w:color w:val="000000"/>
                <w:szCs w:val="21"/>
              </w:rPr>
            </w:pPr>
            <w:r>
              <w:rPr>
                <w:rFonts w:ascii="宋体" w:hAnsi="宋体" w:cs="宋体" w:hint="eastAsia"/>
                <w:color w:val="000000"/>
                <w:kern w:val="0"/>
                <w:szCs w:val="21"/>
              </w:rPr>
              <w:t>未完成原因改进措施</w:t>
            </w: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产出指标</w:t>
            </w:r>
          </w:p>
        </w:tc>
        <w:tc>
          <w:tcPr>
            <w:tcW w:w="1189"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数量指标</w:t>
            </w: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质量指标</w:t>
            </w: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时效指标</w:t>
            </w: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成本指标</w:t>
            </w: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效益指标</w:t>
            </w:r>
          </w:p>
        </w:tc>
        <w:tc>
          <w:tcPr>
            <w:tcW w:w="1189"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kern w:val="0"/>
                <w:szCs w:val="21"/>
              </w:rPr>
            </w:pPr>
            <w:r>
              <w:rPr>
                <w:rFonts w:ascii="宋体" w:hAnsi="宋体" w:cs="宋体" w:hint="eastAsia"/>
                <w:color w:val="000000"/>
                <w:kern w:val="0"/>
                <w:szCs w:val="21"/>
              </w:rPr>
              <w:t>经济效益</w:t>
            </w:r>
          </w:p>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指标</w:t>
            </w: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left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textAlignment w:val="center"/>
              <w:rPr>
                <w:rFonts w:ascii="宋体" w:hAnsi="宋体" w:cs="宋体"/>
                <w:color w:val="000000"/>
                <w:szCs w:val="21"/>
              </w:rPr>
            </w:pPr>
          </w:p>
        </w:tc>
        <w:tc>
          <w:tcPr>
            <w:tcW w:w="118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left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kern w:val="0"/>
                <w:szCs w:val="21"/>
              </w:rPr>
            </w:pPr>
            <w:r>
              <w:rPr>
                <w:rFonts w:ascii="宋体" w:hAnsi="宋体" w:cs="宋体" w:hint="eastAsia"/>
                <w:color w:val="000000"/>
                <w:kern w:val="0"/>
                <w:szCs w:val="21"/>
              </w:rPr>
              <w:t>社会效益</w:t>
            </w:r>
          </w:p>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指标</w:t>
            </w: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left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left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kern w:val="0"/>
                <w:szCs w:val="21"/>
              </w:rPr>
            </w:pPr>
            <w:r>
              <w:rPr>
                <w:rFonts w:ascii="宋体" w:hAnsi="宋体" w:cs="宋体" w:hint="eastAsia"/>
                <w:color w:val="000000"/>
                <w:kern w:val="0"/>
                <w:szCs w:val="21"/>
              </w:rPr>
              <w:t>生态效益</w:t>
            </w:r>
          </w:p>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指标</w:t>
            </w: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left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left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可持续影响指标</w:t>
            </w: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left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满意度指标</w:t>
            </w:r>
          </w:p>
        </w:tc>
        <w:tc>
          <w:tcPr>
            <w:tcW w:w="1189"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服务对象满意度指标</w:t>
            </w: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62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w:t>
            </w: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108"/>
        </w:trPr>
        <w:tc>
          <w:tcPr>
            <w:tcW w:w="52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spacing w:line="220" w:lineRule="exact"/>
              <w:jc w:val="center"/>
              <w:textAlignment w:val="center"/>
              <w:rPr>
                <w:rFonts w:ascii="宋体" w:hAnsi="宋体" w:cs="宋体"/>
                <w:color w:val="000000"/>
                <w:szCs w:val="21"/>
              </w:rPr>
            </w:pPr>
            <w:r>
              <w:rPr>
                <w:rFonts w:ascii="宋体" w:hAnsi="宋体" w:cs="宋体" w:hint="eastAsia"/>
                <w:color w:val="000000"/>
                <w:kern w:val="0"/>
                <w:szCs w:val="21"/>
              </w:rPr>
              <w:t>说明</w:t>
            </w:r>
          </w:p>
        </w:tc>
        <w:tc>
          <w:tcPr>
            <w:tcW w:w="628"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18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20" w:lineRule="exact"/>
              <w:jc w:val="center"/>
              <w:rPr>
                <w:rFonts w:ascii="宋体" w:hAnsi="宋体" w:cs="宋体"/>
                <w:color w:val="000000"/>
                <w:szCs w:val="21"/>
              </w:rPr>
            </w:pPr>
          </w:p>
        </w:tc>
        <w:tc>
          <w:tcPr>
            <w:tcW w:w="1887"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3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30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816"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c>
          <w:tcPr>
            <w:tcW w:w="1299"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spacing w:line="240" w:lineRule="exact"/>
              <w:jc w:val="center"/>
              <w:rPr>
                <w:rFonts w:ascii="宋体" w:hAnsi="宋体" w:cs="宋体"/>
                <w:color w:val="000000"/>
                <w:szCs w:val="21"/>
              </w:rPr>
            </w:pPr>
          </w:p>
        </w:tc>
      </w:tr>
      <w:tr w:rsidR="00B47AB6" w:rsidTr="007F7689">
        <w:trPr>
          <w:trHeight w:val="2174"/>
        </w:trPr>
        <w:tc>
          <w:tcPr>
            <w:tcW w:w="8885" w:type="dxa"/>
            <w:gridSpan w:val="20"/>
            <w:tcBorders>
              <w:top w:val="single" w:sz="4" w:space="0" w:color="000000"/>
              <w:left w:val="nil"/>
              <w:bottom w:val="nil"/>
              <w:right w:val="nil"/>
            </w:tcBorders>
            <w:tcMar>
              <w:top w:w="12" w:type="dxa"/>
              <w:left w:w="12" w:type="dxa"/>
              <w:right w:w="12" w:type="dxa"/>
            </w:tcMar>
            <w:vAlign w:val="center"/>
          </w:tcPr>
          <w:p w:rsidR="00B47AB6" w:rsidRDefault="00B47AB6">
            <w:pPr>
              <w:spacing w:line="240" w:lineRule="exact"/>
              <w:jc w:val="left"/>
              <w:textAlignment w:val="center"/>
              <w:rPr>
                <w:rFonts w:ascii="宋体" w:hAnsi="宋体" w:cs="宋体"/>
                <w:color w:val="000000"/>
                <w:kern w:val="0"/>
                <w:sz w:val="18"/>
                <w:szCs w:val="18"/>
              </w:rPr>
            </w:pPr>
          </w:p>
          <w:p w:rsidR="00B47AB6" w:rsidRDefault="00B2239E">
            <w:pPr>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注：1、其他资金包括和财政资金共同投入到同一项目的自有资金、社会资金，以及以前年度的结余资金等。</w:t>
            </w:r>
          </w:p>
          <w:p w:rsidR="00B47AB6" w:rsidRDefault="00B2239E">
            <w:pPr>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2、定量指标，资金使用单位填写本地区实际完成数。主管部门汇总时，对绝对值直接累加计算，相对值按照资金额度加权平均计算。</w:t>
            </w:r>
          </w:p>
          <w:p w:rsidR="00B47AB6" w:rsidRDefault="00B2239E">
            <w:pPr>
              <w:spacing w:line="24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3、定性指标根据指标完成情况分为：全部或基本达成预期指标、部分达成预期指标并具有一定效果、未达成预期指标且效果较差三档，分别按照100%－80%（含）、80%-60%（含）、60%－0%合理填写完成比例。</w:t>
            </w:r>
          </w:p>
          <w:p w:rsidR="00B47AB6" w:rsidRDefault="00B47AB6">
            <w:pPr>
              <w:spacing w:line="240" w:lineRule="exact"/>
              <w:jc w:val="left"/>
              <w:textAlignment w:val="center"/>
              <w:rPr>
                <w:rFonts w:ascii="宋体" w:hAnsi="宋体" w:cs="宋体"/>
                <w:color w:val="000000"/>
                <w:kern w:val="0"/>
                <w:sz w:val="18"/>
                <w:szCs w:val="18"/>
              </w:rPr>
            </w:pPr>
          </w:p>
          <w:p w:rsidR="00B47AB6" w:rsidRDefault="00B47AB6">
            <w:pPr>
              <w:spacing w:line="240" w:lineRule="exact"/>
              <w:jc w:val="left"/>
              <w:textAlignment w:val="center"/>
              <w:rPr>
                <w:rFonts w:ascii="宋体" w:hAnsi="宋体" w:cs="宋体"/>
                <w:color w:val="000000"/>
                <w:kern w:val="0"/>
                <w:sz w:val="18"/>
                <w:szCs w:val="18"/>
              </w:rPr>
            </w:pPr>
          </w:p>
        </w:tc>
      </w:tr>
      <w:tr w:rsidR="00B47AB6" w:rsidTr="007F7689">
        <w:trPr>
          <w:gridAfter w:val="1"/>
          <w:wAfter w:w="160" w:type="dxa"/>
          <w:trHeight w:val="108"/>
        </w:trPr>
        <w:tc>
          <w:tcPr>
            <w:tcW w:w="8726" w:type="dxa"/>
            <w:gridSpan w:val="19"/>
            <w:tcBorders>
              <w:top w:val="nil"/>
              <w:left w:val="nil"/>
              <w:bottom w:val="nil"/>
              <w:right w:val="nil"/>
            </w:tcBorders>
            <w:tcMar>
              <w:top w:w="12" w:type="dxa"/>
              <w:left w:w="12" w:type="dxa"/>
              <w:right w:w="12" w:type="dxa"/>
            </w:tcMar>
            <w:vAlign w:val="center"/>
          </w:tcPr>
          <w:p w:rsidR="00B47AB6" w:rsidRDefault="00B47AB6">
            <w:pPr>
              <w:adjustRightInd w:val="0"/>
              <w:snapToGrid w:val="0"/>
              <w:spacing w:line="560" w:lineRule="exact"/>
              <w:ind w:firstLineChars="200" w:firstLine="880"/>
              <w:jc w:val="center"/>
              <w:rPr>
                <w:rFonts w:ascii="方正小标宋简体" w:eastAsia="方正小标宋简体" w:hAnsi="方正小标宋简体" w:cs="方正小标宋简体"/>
                <w:color w:val="000000"/>
                <w:kern w:val="0"/>
                <w:sz w:val="44"/>
                <w:szCs w:val="44"/>
              </w:rPr>
            </w:pPr>
          </w:p>
          <w:p w:rsidR="00B47AB6" w:rsidRDefault="00B47AB6">
            <w:pPr>
              <w:adjustRightInd w:val="0"/>
              <w:snapToGrid w:val="0"/>
              <w:spacing w:line="560" w:lineRule="exact"/>
              <w:ind w:firstLineChars="200" w:firstLine="880"/>
              <w:jc w:val="center"/>
              <w:rPr>
                <w:rFonts w:ascii="方正小标宋简体" w:eastAsia="方正小标宋简体" w:hAnsi="方正小标宋简体" w:cs="方正小标宋简体"/>
                <w:color w:val="000000"/>
                <w:kern w:val="0"/>
                <w:sz w:val="44"/>
                <w:szCs w:val="44"/>
              </w:rPr>
            </w:pPr>
          </w:p>
          <w:p w:rsidR="00B47AB6" w:rsidRDefault="00B2239E">
            <w:pPr>
              <w:adjustRightInd w:val="0"/>
              <w:snapToGrid w:val="0"/>
              <w:spacing w:line="560" w:lineRule="exact"/>
              <w:ind w:firstLineChars="200" w:firstLine="88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kern w:val="0"/>
                <w:sz w:val="44"/>
                <w:szCs w:val="44"/>
              </w:rPr>
              <w:t>部门整体支出绩效自评表</w:t>
            </w:r>
          </w:p>
        </w:tc>
      </w:tr>
      <w:tr w:rsidR="00B47AB6" w:rsidTr="007F7689">
        <w:trPr>
          <w:trHeight w:val="108"/>
        </w:trPr>
        <w:tc>
          <w:tcPr>
            <w:tcW w:w="8885" w:type="dxa"/>
            <w:gridSpan w:val="20"/>
            <w:tcBorders>
              <w:top w:val="nil"/>
              <w:left w:val="nil"/>
              <w:bottom w:val="nil"/>
              <w:right w:val="nil"/>
            </w:tcBorders>
            <w:tcMar>
              <w:top w:w="12" w:type="dxa"/>
              <w:left w:w="12" w:type="dxa"/>
              <w:right w:w="12" w:type="dxa"/>
            </w:tcMar>
            <w:vAlign w:val="center"/>
          </w:tcPr>
          <w:p w:rsidR="00B47AB6" w:rsidRDefault="00B2239E">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lastRenderedPageBreak/>
              <w:t>（2021年度）</w:t>
            </w:r>
          </w:p>
        </w:tc>
      </w:tr>
      <w:tr w:rsidR="00B47AB6" w:rsidTr="007F7689">
        <w:trPr>
          <w:trHeight w:val="108"/>
        </w:trPr>
        <w:tc>
          <w:tcPr>
            <w:tcW w:w="8885" w:type="dxa"/>
            <w:gridSpan w:val="20"/>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填报单位：自评得分：</w:t>
            </w:r>
          </w:p>
        </w:tc>
      </w:tr>
      <w:tr w:rsidR="00B47AB6" w:rsidTr="007F7689">
        <w:trPr>
          <w:trHeight w:val="108"/>
        </w:trPr>
        <w:tc>
          <w:tcPr>
            <w:tcW w:w="3596"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（一）简要概述部门职能与职责。</w:t>
            </w:r>
          </w:p>
        </w:tc>
        <w:tc>
          <w:tcPr>
            <w:tcW w:w="5289" w:type="dxa"/>
            <w:gridSpan w:val="1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r>
      <w:tr w:rsidR="00B47AB6" w:rsidTr="007F7689">
        <w:trPr>
          <w:trHeight w:val="108"/>
        </w:trPr>
        <w:tc>
          <w:tcPr>
            <w:tcW w:w="3596"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（二）简要概述部门支出情况，按活动内容分类。</w:t>
            </w:r>
          </w:p>
        </w:tc>
        <w:tc>
          <w:tcPr>
            <w:tcW w:w="5289" w:type="dxa"/>
            <w:gridSpan w:val="1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r>
      <w:tr w:rsidR="00B47AB6" w:rsidTr="007F7689">
        <w:trPr>
          <w:trHeight w:val="108"/>
        </w:trPr>
        <w:tc>
          <w:tcPr>
            <w:tcW w:w="3596"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（三）简要概述当年政府下达的重点工作。</w:t>
            </w:r>
          </w:p>
        </w:tc>
        <w:tc>
          <w:tcPr>
            <w:tcW w:w="5289" w:type="dxa"/>
            <w:gridSpan w:val="1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r>
      <w:tr w:rsidR="00B47AB6" w:rsidTr="007F7689">
        <w:trPr>
          <w:trHeight w:val="108"/>
        </w:trPr>
        <w:tc>
          <w:tcPr>
            <w:tcW w:w="3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一级指标</w:t>
            </w:r>
          </w:p>
        </w:tc>
        <w:tc>
          <w:tcPr>
            <w:tcW w:w="39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二级指标</w:t>
            </w:r>
          </w:p>
        </w:tc>
        <w:tc>
          <w:tcPr>
            <w:tcW w:w="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三级指标</w:t>
            </w:r>
          </w:p>
        </w:tc>
        <w:tc>
          <w:tcPr>
            <w:tcW w:w="2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分值</w:t>
            </w:r>
          </w:p>
        </w:tc>
        <w:tc>
          <w:tcPr>
            <w:tcW w:w="21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指标说明</w:t>
            </w:r>
          </w:p>
        </w:tc>
        <w:tc>
          <w:tcPr>
            <w:tcW w:w="191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评分标准</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指标值</w:t>
            </w:r>
            <w:proofErr w:type="gramStart"/>
            <w:r>
              <w:rPr>
                <w:rFonts w:ascii="宋体" w:hAnsi="宋体" w:cs="宋体" w:hint="eastAsia"/>
                <w:color w:val="000000"/>
                <w:kern w:val="0"/>
                <w:sz w:val="18"/>
                <w:szCs w:val="18"/>
              </w:rPr>
              <w:t>计算公工和</w:t>
            </w:r>
            <w:proofErr w:type="gramEnd"/>
            <w:r>
              <w:rPr>
                <w:rFonts w:ascii="宋体" w:hAnsi="宋体" w:cs="宋体" w:hint="eastAsia"/>
                <w:color w:val="000000"/>
                <w:kern w:val="0"/>
                <w:sz w:val="18"/>
                <w:szCs w:val="18"/>
              </w:rPr>
              <w:t>数据获取方式</w:t>
            </w:r>
          </w:p>
        </w:tc>
        <w:tc>
          <w:tcPr>
            <w:tcW w:w="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年初</w:t>
            </w:r>
          </w:p>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目标值</w:t>
            </w:r>
          </w:p>
        </w:tc>
        <w:tc>
          <w:tcPr>
            <w:tcW w:w="37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实际</w:t>
            </w:r>
          </w:p>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完成值</w:t>
            </w:r>
          </w:p>
        </w:tc>
        <w:tc>
          <w:tcPr>
            <w:tcW w:w="3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得分</w:t>
            </w:r>
          </w:p>
        </w:tc>
        <w:tc>
          <w:tcPr>
            <w:tcW w:w="8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未完成原因分析与改进措施</w:t>
            </w:r>
          </w:p>
        </w:tc>
        <w:tc>
          <w:tcPr>
            <w:tcW w:w="82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绩效指标分析与建议</w:t>
            </w:r>
          </w:p>
        </w:tc>
      </w:tr>
      <w:tr w:rsidR="00B47AB6" w:rsidTr="007F7689">
        <w:trPr>
          <w:trHeight w:val="108"/>
        </w:trPr>
        <w:tc>
          <w:tcPr>
            <w:tcW w:w="30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投入</w:t>
            </w:r>
          </w:p>
        </w:tc>
        <w:tc>
          <w:tcPr>
            <w:tcW w:w="394"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预算执行（25分）</w:t>
            </w:r>
          </w:p>
        </w:tc>
        <w:tc>
          <w:tcPr>
            <w:tcW w:w="461" w:type="dxa"/>
            <w:tcBorders>
              <w:top w:val="nil"/>
              <w:left w:val="nil"/>
              <w:bottom w:val="nil"/>
              <w:right w:val="nil"/>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预算完成率（10分）</w:t>
            </w:r>
          </w:p>
        </w:tc>
        <w:tc>
          <w:tcPr>
            <w:tcW w:w="2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10</w:t>
            </w:r>
          </w:p>
        </w:tc>
        <w:tc>
          <w:tcPr>
            <w:tcW w:w="21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预算完成率＝（预算完成数/预算数）×100%，用以反映和考核部门（单位）预算完成程度。</w:t>
            </w:r>
          </w:p>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预算完成数：部门（单位）本年度实际完成的预算数。</w:t>
            </w:r>
          </w:p>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预算数：财政部门批复的本年度部门（单位）预算数。</w:t>
            </w:r>
          </w:p>
        </w:tc>
        <w:tc>
          <w:tcPr>
            <w:tcW w:w="191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pacing w:val="-6"/>
                <w:kern w:val="0"/>
                <w:sz w:val="18"/>
                <w:szCs w:val="18"/>
              </w:rPr>
            </w:pPr>
            <w:r>
              <w:rPr>
                <w:rFonts w:ascii="宋体" w:hAnsi="宋体" w:cs="宋体" w:hint="eastAsia"/>
                <w:color w:val="000000"/>
                <w:kern w:val="0"/>
                <w:sz w:val="18"/>
                <w:szCs w:val="18"/>
              </w:rPr>
              <w:t>预算</w:t>
            </w:r>
            <w:r>
              <w:rPr>
                <w:rFonts w:ascii="宋体" w:hAnsi="宋体" w:cs="宋体" w:hint="eastAsia"/>
                <w:color w:val="000000"/>
                <w:spacing w:val="-6"/>
                <w:kern w:val="0"/>
                <w:sz w:val="18"/>
                <w:szCs w:val="18"/>
              </w:rPr>
              <w:t>完成率＝100%的，得10分。</w:t>
            </w:r>
          </w:p>
          <w:p w:rsidR="00B47AB6" w:rsidRDefault="00B2239E">
            <w:pPr>
              <w:widowControl/>
              <w:spacing w:line="230" w:lineRule="exact"/>
              <w:jc w:val="left"/>
              <w:textAlignment w:val="center"/>
              <w:rPr>
                <w:rFonts w:ascii="宋体" w:hAnsi="宋体" w:cs="宋体"/>
                <w:color w:val="000000"/>
                <w:spacing w:val="-6"/>
                <w:kern w:val="0"/>
                <w:sz w:val="18"/>
                <w:szCs w:val="18"/>
              </w:rPr>
            </w:pPr>
            <w:r>
              <w:rPr>
                <w:rFonts w:ascii="宋体" w:hAnsi="宋体" w:cs="宋体" w:hint="eastAsia"/>
                <w:color w:val="000000"/>
                <w:spacing w:val="-6"/>
                <w:kern w:val="0"/>
                <w:sz w:val="18"/>
                <w:szCs w:val="18"/>
              </w:rPr>
              <w:t>预算完成率≥95%的，得9分。</w:t>
            </w:r>
          </w:p>
          <w:p w:rsidR="00B47AB6" w:rsidRDefault="00B2239E">
            <w:pPr>
              <w:widowControl/>
              <w:spacing w:line="230" w:lineRule="exact"/>
              <w:jc w:val="left"/>
              <w:textAlignment w:val="center"/>
              <w:rPr>
                <w:rFonts w:ascii="宋体" w:hAnsi="宋体" w:cs="宋体"/>
                <w:color w:val="000000"/>
                <w:spacing w:val="-6"/>
                <w:kern w:val="0"/>
                <w:sz w:val="18"/>
                <w:szCs w:val="18"/>
              </w:rPr>
            </w:pPr>
            <w:r>
              <w:rPr>
                <w:rFonts w:ascii="宋体" w:hAnsi="宋体" w:cs="宋体" w:hint="eastAsia"/>
                <w:color w:val="000000"/>
                <w:spacing w:val="-6"/>
                <w:kern w:val="0"/>
                <w:sz w:val="18"/>
                <w:szCs w:val="18"/>
              </w:rPr>
              <w:t>预算完成率在90%（含）和95%之间，得8分。</w:t>
            </w:r>
          </w:p>
          <w:p w:rsidR="00B47AB6" w:rsidRDefault="00B2239E">
            <w:pPr>
              <w:widowControl/>
              <w:spacing w:line="230" w:lineRule="exact"/>
              <w:jc w:val="left"/>
              <w:textAlignment w:val="center"/>
              <w:rPr>
                <w:rFonts w:ascii="宋体" w:hAnsi="宋体" w:cs="宋体"/>
                <w:color w:val="000000"/>
                <w:spacing w:val="-6"/>
                <w:kern w:val="0"/>
                <w:sz w:val="18"/>
                <w:szCs w:val="18"/>
              </w:rPr>
            </w:pPr>
            <w:r>
              <w:rPr>
                <w:rFonts w:ascii="宋体" w:hAnsi="宋体" w:cs="宋体" w:hint="eastAsia"/>
                <w:color w:val="000000"/>
                <w:spacing w:val="-6"/>
                <w:kern w:val="0"/>
                <w:sz w:val="18"/>
                <w:szCs w:val="18"/>
              </w:rPr>
              <w:t>预算完成率在85%（含）和90%之间，得7分。</w:t>
            </w:r>
          </w:p>
          <w:p w:rsidR="00B47AB6" w:rsidRDefault="00B2239E">
            <w:pPr>
              <w:widowControl/>
              <w:spacing w:line="230" w:lineRule="exact"/>
              <w:jc w:val="left"/>
              <w:textAlignment w:val="center"/>
              <w:rPr>
                <w:rFonts w:ascii="宋体" w:hAnsi="宋体" w:cs="宋体"/>
                <w:color w:val="000000"/>
                <w:spacing w:val="-6"/>
                <w:kern w:val="0"/>
                <w:sz w:val="18"/>
                <w:szCs w:val="18"/>
              </w:rPr>
            </w:pPr>
            <w:r>
              <w:rPr>
                <w:rFonts w:ascii="宋体" w:hAnsi="宋体" w:cs="宋体" w:hint="eastAsia"/>
                <w:color w:val="000000"/>
                <w:spacing w:val="-6"/>
                <w:kern w:val="0"/>
                <w:sz w:val="18"/>
                <w:szCs w:val="18"/>
              </w:rPr>
              <w:t>预算完成率在80%（含）和85%之间，得6分。</w:t>
            </w:r>
          </w:p>
          <w:p w:rsidR="00B47AB6" w:rsidRDefault="00B2239E">
            <w:pPr>
              <w:widowControl/>
              <w:spacing w:line="230" w:lineRule="exact"/>
              <w:jc w:val="left"/>
              <w:textAlignment w:val="center"/>
              <w:rPr>
                <w:rFonts w:ascii="宋体" w:hAnsi="宋体" w:cs="宋体"/>
                <w:color w:val="000000"/>
                <w:spacing w:val="-6"/>
                <w:kern w:val="0"/>
                <w:sz w:val="18"/>
                <w:szCs w:val="18"/>
              </w:rPr>
            </w:pPr>
            <w:r>
              <w:rPr>
                <w:rFonts w:ascii="宋体" w:hAnsi="宋体" w:cs="宋体" w:hint="eastAsia"/>
                <w:color w:val="000000"/>
                <w:spacing w:val="-6"/>
                <w:kern w:val="0"/>
                <w:sz w:val="18"/>
                <w:szCs w:val="18"/>
              </w:rPr>
              <w:t>预算完成率在70%（含）和80%之间，得4分。</w:t>
            </w:r>
          </w:p>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spacing w:val="-6"/>
                <w:kern w:val="0"/>
                <w:sz w:val="18"/>
                <w:szCs w:val="18"/>
              </w:rPr>
              <w:t>预算完成率</w:t>
            </w:r>
            <w:proofErr w:type="gramStart"/>
            <w:r>
              <w:rPr>
                <w:rFonts w:ascii="宋体" w:hAnsi="宋体" w:cs="宋体" w:hint="eastAsia"/>
                <w:color w:val="000000"/>
                <w:spacing w:val="-6"/>
                <w:kern w:val="0"/>
                <w:sz w:val="18"/>
                <w:szCs w:val="18"/>
              </w:rPr>
              <w:t>〈</w:t>
            </w:r>
            <w:proofErr w:type="gramEnd"/>
            <w:r>
              <w:rPr>
                <w:rFonts w:ascii="宋体" w:hAnsi="宋体" w:cs="宋体" w:hint="eastAsia"/>
                <w:color w:val="000000"/>
                <w:spacing w:val="-6"/>
                <w:kern w:val="0"/>
                <w:sz w:val="18"/>
                <w:szCs w:val="18"/>
              </w:rPr>
              <w:t>70%”的，得0分。</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82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r>
      <w:tr w:rsidR="00B47AB6" w:rsidTr="007F7689">
        <w:trPr>
          <w:trHeight w:val="108"/>
        </w:trPr>
        <w:tc>
          <w:tcPr>
            <w:tcW w:w="3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94"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预算调整率（5分）</w:t>
            </w:r>
          </w:p>
        </w:tc>
        <w:tc>
          <w:tcPr>
            <w:tcW w:w="2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预算调整数＝（预算调整数/预算数）×100%，用以反映和考核部门（单位）预算的调整程度。</w:t>
            </w:r>
          </w:p>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预算调整数：部门（单位）在本年度内涉及预算的追加、追减或结构调整的资金总和（因落实国家政策、发生不可抗力、上级部门或本级党委政府临时交办而产生的调整除外）。</w:t>
            </w:r>
          </w:p>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预算包括一般公共预算与政府性基金预算。</w:t>
            </w:r>
          </w:p>
        </w:tc>
        <w:tc>
          <w:tcPr>
            <w:tcW w:w="191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预算调整率绝对值≤5%，得5分。</w:t>
            </w:r>
          </w:p>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预算调整绝对值</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5%的，每增加0.1个百分点扣0.1分，扣完为止。</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82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r>
      <w:tr w:rsidR="00B47AB6" w:rsidTr="007F7689">
        <w:trPr>
          <w:trHeight w:val="108"/>
        </w:trPr>
        <w:tc>
          <w:tcPr>
            <w:tcW w:w="30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投入</w:t>
            </w:r>
          </w:p>
        </w:tc>
        <w:tc>
          <w:tcPr>
            <w:tcW w:w="394"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预算执行（25分）</w:t>
            </w:r>
          </w:p>
        </w:tc>
        <w:tc>
          <w:tcPr>
            <w:tcW w:w="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支出进度率（5分）</w:t>
            </w:r>
          </w:p>
        </w:tc>
        <w:tc>
          <w:tcPr>
            <w:tcW w:w="2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1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支出进度率＝（实际支出/支出预算）×100%，用以反映和考核部门（单位）预算执行的及时性和均衡性程度。</w:t>
            </w:r>
          </w:p>
          <w:p w:rsidR="00B47AB6" w:rsidRDefault="00B2239E">
            <w:pPr>
              <w:widowControl/>
              <w:spacing w:line="21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半年支出进度＝部门上半年实际支出/（上年结余结转+本年部门预算安排+上半年执行中追加追减）*100%。</w:t>
            </w:r>
          </w:p>
          <w:p w:rsidR="00B47AB6" w:rsidRDefault="00B2239E">
            <w:pPr>
              <w:widowControl/>
              <w:spacing w:line="21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前三季度支出进度＝部门前三季度实际支出/（上年结余结转+本年部门预算安排+前三季度执行中追加追减）*100%。</w:t>
            </w:r>
          </w:p>
        </w:tc>
        <w:tc>
          <w:tcPr>
            <w:tcW w:w="191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半年进度，进度率≥45%，得2分；进度率在40%（含）和45%之间，得1分；进度率</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40%，得0分。</w:t>
            </w:r>
          </w:p>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前三季度进度：进度率≥75%，得3分；进度率在60%（含）和75%之间，得2分；进度率</w:t>
            </w:r>
            <w:proofErr w:type="gramStart"/>
            <w:r>
              <w:rPr>
                <w:rFonts w:ascii="宋体" w:hAnsi="宋体" w:cs="宋体" w:hint="eastAsia"/>
                <w:color w:val="000000"/>
                <w:kern w:val="0"/>
                <w:sz w:val="18"/>
                <w:szCs w:val="18"/>
              </w:rPr>
              <w:t>〈</w:t>
            </w:r>
            <w:proofErr w:type="gramEnd"/>
            <w:r>
              <w:rPr>
                <w:rFonts w:ascii="宋体" w:hAnsi="宋体" w:cs="宋体" w:hint="eastAsia"/>
                <w:color w:val="000000"/>
                <w:kern w:val="0"/>
                <w:sz w:val="18"/>
                <w:szCs w:val="18"/>
              </w:rPr>
              <w:t>60%，得0分。</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82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r>
      <w:tr w:rsidR="00B47AB6" w:rsidTr="007F7689">
        <w:trPr>
          <w:trHeight w:val="108"/>
        </w:trPr>
        <w:tc>
          <w:tcPr>
            <w:tcW w:w="3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94"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预算编制</w:t>
            </w:r>
            <w:r>
              <w:rPr>
                <w:rFonts w:ascii="宋体" w:hAnsi="宋体" w:cs="宋体" w:hint="eastAsia"/>
                <w:color w:val="000000"/>
                <w:kern w:val="0"/>
                <w:sz w:val="18"/>
                <w:szCs w:val="18"/>
              </w:rPr>
              <w:lastRenderedPageBreak/>
              <w:t>准确率（5分）</w:t>
            </w:r>
          </w:p>
        </w:tc>
        <w:tc>
          <w:tcPr>
            <w:tcW w:w="2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5</w:t>
            </w:r>
          </w:p>
        </w:tc>
        <w:tc>
          <w:tcPr>
            <w:tcW w:w="21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部门预算中除财政拨款外的其他收入预算与决算差</w:t>
            </w:r>
            <w:r>
              <w:rPr>
                <w:rFonts w:ascii="宋体" w:hAnsi="宋体" w:cs="宋体" w:hint="eastAsia"/>
                <w:color w:val="000000"/>
                <w:kern w:val="0"/>
                <w:sz w:val="18"/>
                <w:szCs w:val="18"/>
              </w:rPr>
              <w:lastRenderedPageBreak/>
              <w:t>异率。</w:t>
            </w:r>
          </w:p>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预算编制准确率＝其他收入决算数/其他收入预算数×100%-100%。</w:t>
            </w:r>
          </w:p>
        </w:tc>
        <w:tc>
          <w:tcPr>
            <w:tcW w:w="191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预算编制准确率≤20%，得5分。</w:t>
            </w:r>
          </w:p>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lastRenderedPageBreak/>
              <w:t>预算编制准确率在20%和40%（含）之间，得3分。</w:t>
            </w:r>
          </w:p>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预算编制准确率＞40%，得0分。</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82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r>
      <w:tr w:rsidR="00B47AB6" w:rsidTr="007F7689">
        <w:trPr>
          <w:trHeight w:val="108"/>
        </w:trPr>
        <w:tc>
          <w:tcPr>
            <w:tcW w:w="30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lastRenderedPageBreak/>
              <w:t>过程</w:t>
            </w:r>
          </w:p>
        </w:tc>
        <w:tc>
          <w:tcPr>
            <w:tcW w:w="394"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预算管理（15分）</w:t>
            </w:r>
          </w:p>
        </w:tc>
        <w:tc>
          <w:tcPr>
            <w:tcW w:w="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“三公经费”控制率（5分）</w:t>
            </w:r>
          </w:p>
        </w:tc>
        <w:tc>
          <w:tcPr>
            <w:tcW w:w="2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“三公经费”控制率＝（“三公经费”实际支出数/“三公经费”预算安排数×100%，用以反映和考核部门（单位）对“三公经费”的实际控制程度。</w:t>
            </w:r>
          </w:p>
        </w:tc>
        <w:tc>
          <w:tcPr>
            <w:tcW w:w="191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三</w:t>
            </w:r>
            <w:proofErr w:type="gramStart"/>
            <w:r>
              <w:rPr>
                <w:rFonts w:ascii="宋体" w:hAnsi="宋体" w:cs="宋体" w:hint="eastAsia"/>
                <w:color w:val="000000"/>
                <w:kern w:val="0"/>
                <w:sz w:val="18"/>
                <w:szCs w:val="18"/>
              </w:rPr>
              <w:t>公经费</w:t>
            </w:r>
            <w:proofErr w:type="gramEnd"/>
            <w:r>
              <w:rPr>
                <w:rFonts w:ascii="宋体" w:hAnsi="宋体" w:cs="宋体" w:hint="eastAsia"/>
                <w:color w:val="000000"/>
                <w:kern w:val="0"/>
                <w:sz w:val="18"/>
                <w:szCs w:val="18"/>
              </w:rPr>
              <w:t>控制率≤100%，得5分，每增加0.1个百分点扣0.5分，扣完为止。</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82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r>
      <w:tr w:rsidR="00B47AB6" w:rsidTr="007F7689">
        <w:trPr>
          <w:trHeight w:val="1949"/>
        </w:trPr>
        <w:tc>
          <w:tcPr>
            <w:tcW w:w="3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94"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资产管理规范性（5分）</w:t>
            </w:r>
          </w:p>
        </w:tc>
        <w:tc>
          <w:tcPr>
            <w:tcW w:w="2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pacing w:val="-11"/>
                <w:kern w:val="0"/>
                <w:sz w:val="18"/>
                <w:szCs w:val="18"/>
              </w:rPr>
            </w:pPr>
            <w:r>
              <w:rPr>
                <w:rFonts w:ascii="宋体" w:hAnsi="宋体" w:cs="宋体" w:hint="eastAsia"/>
                <w:color w:val="000000"/>
                <w:spacing w:val="-11"/>
                <w:kern w:val="0"/>
                <w:sz w:val="18"/>
                <w:szCs w:val="18"/>
              </w:rPr>
              <w:t>部门（单位）资产管理是否规范，用以反映和考核部门（单位）资产管理情况。</w:t>
            </w:r>
          </w:p>
          <w:p w:rsidR="00B47AB6" w:rsidRDefault="00B2239E">
            <w:pPr>
              <w:widowControl/>
              <w:spacing w:line="230" w:lineRule="exact"/>
              <w:jc w:val="left"/>
              <w:textAlignment w:val="center"/>
              <w:rPr>
                <w:rFonts w:ascii="宋体" w:hAnsi="宋体" w:cs="宋体"/>
                <w:color w:val="000000"/>
                <w:spacing w:val="-11"/>
                <w:kern w:val="0"/>
                <w:sz w:val="18"/>
                <w:szCs w:val="18"/>
              </w:rPr>
            </w:pPr>
            <w:r>
              <w:rPr>
                <w:rFonts w:ascii="宋体" w:hAnsi="宋体" w:cs="宋体" w:hint="eastAsia"/>
                <w:color w:val="000000"/>
                <w:spacing w:val="-11"/>
                <w:kern w:val="0"/>
                <w:sz w:val="18"/>
                <w:szCs w:val="18"/>
              </w:rPr>
              <w:t>1、新增资产</w:t>
            </w:r>
            <w:proofErr w:type="gramStart"/>
            <w:r>
              <w:rPr>
                <w:rFonts w:ascii="宋体" w:hAnsi="宋体" w:cs="宋体" w:hint="eastAsia"/>
                <w:color w:val="000000"/>
                <w:spacing w:val="-11"/>
                <w:kern w:val="0"/>
                <w:sz w:val="18"/>
                <w:szCs w:val="18"/>
              </w:rPr>
              <w:t>配置按</w:t>
            </w:r>
            <w:proofErr w:type="gramEnd"/>
            <w:r>
              <w:rPr>
                <w:rFonts w:ascii="宋体" w:hAnsi="宋体" w:cs="宋体" w:hint="eastAsia"/>
                <w:color w:val="000000"/>
                <w:spacing w:val="-11"/>
                <w:kern w:val="0"/>
                <w:sz w:val="18"/>
                <w:szCs w:val="18"/>
              </w:rPr>
              <w:t>预算执行。</w:t>
            </w:r>
          </w:p>
          <w:p w:rsidR="00B47AB6" w:rsidRDefault="00B2239E">
            <w:pPr>
              <w:widowControl/>
              <w:spacing w:line="230" w:lineRule="exact"/>
              <w:jc w:val="left"/>
              <w:textAlignment w:val="center"/>
              <w:rPr>
                <w:rFonts w:ascii="宋体" w:hAnsi="宋体" w:cs="宋体"/>
                <w:color w:val="000000"/>
                <w:spacing w:val="-11"/>
                <w:kern w:val="0"/>
                <w:sz w:val="18"/>
                <w:szCs w:val="18"/>
              </w:rPr>
            </w:pPr>
            <w:r>
              <w:rPr>
                <w:rFonts w:ascii="宋体" w:hAnsi="宋体" w:cs="宋体" w:hint="eastAsia"/>
                <w:color w:val="000000"/>
                <w:spacing w:val="-11"/>
                <w:kern w:val="0"/>
                <w:sz w:val="18"/>
                <w:szCs w:val="18"/>
              </w:rPr>
              <w:t>2、资产有偿使用、处置按规定程序审批。</w:t>
            </w:r>
          </w:p>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spacing w:val="-11"/>
                <w:kern w:val="0"/>
                <w:sz w:val="18"/>
                <w:szCs w:val="18"/>
              </w:rPr>
              <w:t>3、资产收益及时、足额上缴财务。</w:t>
            </w:r>
          </w:p>
        </w:tc>
        <w:tc>
          <w:tcPr>
            <w:tcW w:w="191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全部符合5分，有1项不符扣2分，扣完为止。</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82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r>
      <w:tr w:rsidR="00B47AB6" w:rsidTr="007F7689">
        <w:trPr>
          <w:trHeight w:val="108"/>
        </w:trPr>
        <w:tc>
          <w:tcPr>
            <w:tcW w:w="3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9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预算管理（15分）</w:t>
            </w:r>
          </w:p>
        </w:tc>
        <w:tc>
          <w:tcPr>
            <w:tcW w:w="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资金使用合</w:t>
            </w:r>
            <w:proofErr w:type="gramStart"/>
            <w:r>
              <w:rPr>
                <w:rFonts w:ascii="宋体" w:hAnsi="宋体" w:cs="宋体" w:hint="eastAsia"/>
                <w:color w:val="000000"/>
                <w:kern w:val="0"/>
                <w:sz w:val="18"/>
                <w:szCs w:val="18"/>
              </w:rPr>
              <w:t>规</w:t>
            </w:r>
            <w:proofErr w:type="gramEnd"/>
            <w:r>
              <w:rPr>
                <w:rFonts w:ascii="宋体" w:hAnsi="宋体" w:cs="宋体" w:hint="eastAsia"/>
                <w:color w:val="000000"/>
                <w:kern w:val="0"/>
                <w:sz w:val="18"/>
                <w:szCs w:val="18"/>
              </w:rPr>
              <w:t>性（5分）</w:t>
            </w:r>
          </w:p>
        </w:tc>
        <w:tc>
          <w:tcPr>
            <w:tcW w:w="2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5</w:t>
            </w:r>
          </w:p>
        </w:tc>
        <w:tc>
          <w:tcPr>
            <w:tcW w:w="21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部门（单位）使用预算资金是否符合相关的预算财务管理制度的规定，用以反映和考核部门（单位）预算资金的规范运行情况。</w:t>
            </w:r>
          </w:p>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1、符合国家财经法规和财务管理制度规定以及有关专项资金管理办法的规定；</w:t>
            </w:r>
          </w:p>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2、资金的拨付有完整的审批程序和手续；</w:t>
            </w:r>
          </w:p>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3、重大项目开支经过评估论证；</w:t>
            </w:r>
          </w:p>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4、符合部门预算批复的用途；</w:t>
            </w:r>
          </w:p>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5、不存在截留、挤占、挪用、虚列支出等情况。</w:t>
            </w:r>
          </w:p>
        </w:tc>
        <w:tc>
          <w:tcPr>
            <w:tcW w:w="1918"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全部符合5分，有1项不符扣2分。</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82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r>
      <w:tr w:rsidR="00B47AB6" w:rsidTr="007F7689">
        <w:trPr>
          <w:trHeight w:val="1301"/>
        </w:trPr>
        <w:tc>
          <w:tcPr>
            <w:tcW w:w="30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效果</w:t>
            </w:r>
          </w:p>
        </w:tc>
        <w:tc>
          <w:tcPr>
            <w:tcW w:w="394"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履职尽职（60分）</w:t>
            </w:r>
          </w:p>
        </w:tc>
        <w:tc>
          <w:tcPr>
            <w:tcW w:w="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项目产出（40分）</w:t>
            </w:r>
          </w:p>
        </w:tc>
        <w:tc>
          <w:tcPr>
            <w:tcW w:w="2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40</w:t>
            </w:r>
          </w:p>
        </w:tc>
        <w:tc>
          <w:tcPr>
            <w:tcW w:w="21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left"/>
              <w:rPr>
                <w:rFonts w:ascii="宋体" w:hAnsi="宋体" w:cs="宋体"/>
                <w:color w:val="000000"/>
                <w:sz w:val="18"/>
                <w:szCs w:val="18"/>
              </w:rPr>
            </w:pPr>
          </w:p>
        </w:tc>
        <w:tc>
          <w:tcPr>
            <w:tcW w:w="1918" w:type="dxa"/>
            <w:gridSpan w:val="3"/>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1、若为定性指标，根据“三档”原则分别按照指标分值的100-80%（含）、80-50%（含）、50-10%来记分；</w:t>
            </w:r>
          </w:p>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2、若为定量指标，完成值达到指标值，记满分；未达到指标值，按完成比率计分，正向指标（即指标值为≥*）得分＝实际完成值/年初目标值*该指标分值，反向指标（即指标值为≤*）得分＝年初目标值/实际完成值*该指标分值。</w:t>
            </w: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82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r>
      <w:tr w:rsidR="00B47AB6" w:rsidTr="007F7689">
        <w:trPr>
          <w:trHeight w:val="3014"/>
        </w:trPr>
        <w:tc>
          <w:tcPr>
            <w:tcW w:w="3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394"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center"/>
              <w:rPr>
                <w:rFonts w:ascii="宋体" w:hAnsi="宋体" w:cs="宋体"/>
                <w:color w:val="000000"/>
                <w:sz w:val="18"/>
                <w:szCs w:val="18"/>
              </w:rPr>
            </w:pPr>
          </w:p>
        </w:tc>
        <w:tc>
          <w:tcPr>
            <w:tcW w:w="4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项目效益（20分）</w:t>
            </w:r>
          </w:p>
        </w:tc>
        <w:tc>
          <w:tcPr>
            <w:tcW w:w="29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center"/>
              <w:textAlignment w:val="center"/>
              <w:rPr>
                <w:rFonts w:ascii="宋体" w:hAnsi="宋体" w:cs="宋体"/>
                <w:color w:val="000000"/>
                <w:sz w:val="18"/>
                <w:szCs w:val="18"/>
              </w:rPr>
            </w:pPr>
            <w:r>
              <w:rPr>
                <w:rFonts w:ascii="宋体" w:hAnsi="宋体" w:cs="宋体" w:hint="eastAsia"/>
                <w:color w:val="000000"/>
                <w:kern w:val="0"/>
                <w:sz w:val="18"/>
                <w:szCs w:val="18"/>
              </w:rPr>
              <w:t>20</w:t>
            </w:r>
          </w:p>
        </w:tc>
        <w:tc>
          <w:tcPr>
            <w:tcW w:w="215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left"/>
              <w:rPr>
                <w:rFonts w:ascii="宋体" w:hAnsi="宋体" w:cs="宋体"/>
                <w:color w:val="000000"/>
                <w:sz w:val="18"/>
                <w:szCs w:val="18"/>
              </w:rPr>
            </w:pPr>
          </w:p>
        </w:tc>
        <w:tc>
          <w:tcPr>
            <w:tcW w:w="1918" w:type="dxa"/>
            <w:gridSpan w:val="3"/>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jc w:val="left"/>
              <w:rPr>
                <w:rFonts w:ascii="宋体" w:hAnsi="宋体" w:cs="宋体"/>
                <w:color w:val="000000"/>
                <w:sz w:val="18"/>
                <w:szCs w:val="18"/>
              </w:rPr>
            </w:pPr>
          </w:p>
        </w:tc>
        <w:tc>
          <w:tcPr>
            <w:tcW w:w="62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3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370"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3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854" w:type="dxa"/>
            <w:gridSpan w:val="3"/>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c>
          <w:tcPr>
            <w:tcW w:w="826"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47AB6">
            <w:pPr>
              <w:widowControl/>
              <w:spacing w:line="230" w:lineRule="exact"/>
              <w:rPr>
                <w:rFonts w:ascii="宋体" w:hAnsi="宋体" w:cs="宋体"/>
                <w:color w:val="000000"/>
                <w:sz w:val="18"/>
                <w:szCs w:val="18"/>
              </w:rPr>
            </w:pPr>
          </w:p>
        </w:tc>
      </w:tr>
      <w:tr w:rsidR="00B47AB6" w:rsidTr="007F7689">
        <w:trPr>
          <w:trHeight w:val="108"/>
        </w:trPr>
        <w:tc>
          <w:tcPr>
            <w:tcW w:w="8885" w:type="dxa"/>
            <w:gridSpan w:val="20"/>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备注：</w:t>
            </w:r>
          </w:p>
          <w:p w:rsidR="00B47AB6" w:rsidRDefault="00B2239E">
            <w:pPr>
              <w:widowControl/>
              <w:spacing w:line="230" w:lineRule="exact"/>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1、“项目产出”和“项目效果”直接细化成部门年初绩效目标中的指标，并根据重要程度赋权。</w:t>
            </w:r>
          </w:p>
          <w:p w:rsidR="00B47AB6" w:rsidRDefault="00B2239E">
            <w:pPr>
              <w:widowControl/>
              <w:spacing w:line="230" w:lineRule="exact"/>
              <w:jc w:val="left"/>
              <w:textAlignment w:val="center"/>
              <w:rPr>
                <w:rFonts w:ascii="宋体" w:hAnsi="宋体" w:cs="宋体"/>
                <w:color w:val="000000"/>
                <w:sz w:val="18"/>
                <w:szCs w:val="18"/>
              </w:rPr>
            </w:pPr>
            <w:r>
              <w:rPr>
                <w:rFonts w:ascii="宋体" w:hAnsi="宋体" w:cs="宋体" w:hint="eastAsia"/>
                <w:color w:val="000000"/>
                <w:kern w:val="0"/>
                <w:sz w:val="18"/>
                <w:szCs w:val="18"/>
              </w:rPr>
              <w:t>2、“绩效指标分析”是指参考历史数据、行业标准及绩效目标实际完成情况等相关资料，从“是否与项目密切相关，指标值是否可获取，指标值设置是否合理”等角度，从产出和效果类指标中找出需要改进的指标，并逐项提出次年的编制意见和建议。</w:t>
            </w:r>
          </w:p>
        </w:tc>
      </w:tr>
    </w:tbl>
    <w:p w:rsidR="00B47AB6" w:rsidRDefault="00B47AB6">
      <w:pPr>
        <w:ind w:firstLineChars="300" w:firstLine="964"/>
        <w:rPr>
          <w:rFonts w:ascii="楷体" w:eastAsia="楷体" w:hAnsi="楷体" w:cs="楷体"/>
          <w:b/>
          <w:bCs/>
          <w:sz w:val="32"/>
          <w:szCs w:val="40"/>
        </w:rPr>
      </w:pPr>
    </w:p>
    <w:p w:rsidR="00B47AB6" w:rsidRDefault="00B47AB6">
      <w:pPr>
        <w:ind w:firstLineChars="300" w:firstLine="964"/>
        <w:rPr>
          <w:rFonts w:ascii="楷体" w:eastAsia="楷体" w:hAnsi="楷体" w:cs="楷体"/>
          <w:b/>
          <w:bCs/>
          <w:sz w:val="32"/>
          <w:szCs w:val="40"/>
        </w:rPr>
      </w:pPr>
    </w:p>
    <w:p w:rsidR="00B47AB6" w:rsidRDefault="00B2239E">
      <w:pPr>
        <w:widowControl/>
        <w:numPr>
          <w:ilvl w:val="0"/>
          <w:numId w:val="5"/>
        </w:numPr>
        <w:ind w:firstLineChars="200" w:firstLine="640"/>
        <w:jc w:val="center"/>
        <w:rPr>
          <w:rFonts w:ascii="黑体" w:eastAsia="黑体" w:hAnsi="黑体" w:cs="黑体"/>
          <w:bCs/>
          <w:kern w:val="0"/>
          <w:sz w:val="32"/>
          <w:szCs w:val="32"/>
        </w:rPr>
      </w:pPr>
      <w:r>
        <w:rPr>
          <w:rFonts w:ascii="黑体" w:eastAsia="黑体" w:hAnsi="黑体" w:cs="黑体" w:hint="eastAsia"/>
          <w:bCs/>
          <w:kern w:val="0"/>
          <w:sz w:val="32"/>
          <w:szCs w:val="32"/>
        </w:rPr>
        <w:t>专业名词解释</w:t>
      </w:r>
    </w:p>
    <w:p w:rsidR="00B47AB6" w:rsidRDefault="00B2239E">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1、基本支出：指为保障机构正常运转、完成日常工作任务而发生的各项支出。</w:t>
      </w:r>
    </w:p>
    <w:p w:rsidR="00B47AB6" w:rsidRDefault="00B2239E">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2、项目支出：指单位为完成特定的行政工作任务或事业发展目标所发生的各项支出。</w:t>
      </w:r>
    </w:p>
    <w:p w:rsidR="00B47AB6" w:rsidRDefault="00B2239E">
      <w:pPr>
        <w:widowControl/>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3、“三公”经费：指部门使用一般公共预算财政拨款安排的因公出国（境）费、公务用车购置及运行费和公务接待费支出。</w:t>
      </w:r>
    </w:p>
    <w:p w:rsidR="00B47AB6" w:rsidRDefault="00B2239E">
      <w:pPr>
        <w:spacing w:line="600" w:lineRule="exact"/>
        <w:ind w:firstLine="640"/>
        <w:rPr>
          <w:rFonts w:ascii="仿宋_GB2312" w:eastAsia="仿宋_GB2312" w:hAnsi="仿宋_GB2312" w:cs="仿宋_GB2312"/>
          <w:kern w:val="0"/>
          <w:sz w:val="32"/>
          <w:szCs w:val="32"/>
        </w:rPr>
      </w:pPr>
      <w:r>
        <w:rPr>
          <w:rFonts w:ascii="仿宋_GB2312" w:eastAsia="仿宋_GB2312" w:hAnsi="仿宋_GB2312" w:cs="仿宋_GB2312"/>
          <w:kern w:val="0"/>
          <w:sz w:val="32"/>
          <w:szCs w:val="32"/>
        </w:rPr>
        <w:t>4</w:t>
      </w:r>
      <w:r>
        <w:rPr>
          <w:rFonts w:ascii="仿宋_GB2312" w:eastAsia="仿宋_GB2312" w:hAnsi="仿宋_GB2312" w:cs="仿宋_GB2312" w:hint="eastAsia"/>
          <w:kern w:val="0"/>
          <w:sz w:val="32"/>
          <w:szCs w:val="32"/>
        </w:rPr>
        <w:t>、机关运行经费：指行政单位和参照公务员法管理的事业单位使用一般公共预算财政拨款支出的日常公用经费。</w:t>
      </w:r>
    </w:p>
    <w:p w:rsidR="00B47AB6" w:rsidRDefault="00B47AB6">
      <w:pPr>
        <w:widowControl/>
        <w:ind w:firstLineChars="200" w:firstLine="640"/>
        <w:rPr>
          <w:rFonts w:ascii="仿宋_GB2312" w:eastAsia="仿宋_GB2312" w:hAnsi="仿宋_GB2312" w:cs="仿宋_GB2312"/>
          <w:kern w:val="0"/>
          <w:sz w:val="32"/>
          <w:szCs w:val="32"/>
        </w:rPr>
      </w:pPr>
    </w:p>
    <w:sectPr w:rsidR="00B47AB6" w:rsidSect="00B47AB6">
      <w:footerReference w:type="default" r:id="rId15"/>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A49" w:rsidRDefault="00872A49" w:rsidP="00B47AB6">
      <w:r>
        <w:separator/>
      </w:r>
    </w:p>
  </w:endnote>
  <w:endnote w:type="continuationSeparator" w:id="0">
    <w:p w:rsidR="00872A49" w:rsidRDefault="00872A49" w:rsidP="00B47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AB6" w:rsidRDefault="00EB04F5">
    <w:pPr>
      <w:pStyle w:val="a3"/>
    </w:pPr>
    <w:r>
      <w:pict>
        <v:shapetype id="_x0000_t202" coordsize="21600,21600" o:spt="202" path="m,l,21600r21600,l21600,xe">
          <v:stroke joinstyle="miter"/>
          <v:path gradientshapeok="t" o:connecttype="rect"/>
        </v:shapetype>
        <v:shape id="文本框 2" o:spid="_x0000_s409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B47AB6" w:rsidRDefault="00EB04F5">
                <w:pPr>
                  <w:pStyle w:val="a3"/>
                  <w:rPr>
                    <w:sz w:val="24"/>
                  </w:rPr>
                </w:pPr>
                <w:r>
                  <w:rPr>
                    <w:rFonts w:hint="eastAsia"/>
                    <w:sz w:val="24"/>
                  </w:rPr>
                  <w:fldChar w:fldCharType="begin"/>
                </w:r>
                <w:r w:rsidR="00B2239E">
                  <w:rPr>
                    <w:rFonts w:hint="eastAsia"/>
                    <w:sz w:val="24"/>
                  </w:rPr>
                  <w:instrText xml:space="preserve"> PAGE  \* MERGEFORMAT </w:instrText>
                </w:r>
                <w:r>
                  <w:rPr>
                    <w:rFonts w:hint="eastAsia"/>
                    <w:sz w:val="24"/>
                  </w:rPr>
                  <w:fldChar w:fldCharType="separate"/>
                </w:r>
                <w:r w:rsidR="006D16F9">
                  <w:rPr>
                    <w:noProof/>
                    <w:sz w:val="24"/>
                  </w:rPr>
                  <w:t>- 3 -</w:t>
                </w:r>
                <w:r>
                  <w:rPr>
                    <w:rFonts w:hint="eastAsia"/>
                    <w:sz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A49" w:rsidRDefault="00872A49" w:rsidP="00B47AB6">
      <w:r>
        <w:separator/>
      </w:r>
    </w:p>
  </w:footnote>
  <w:footnote w:type="continuationSeparator" w:id="0">
    <w:p w:rsidR="00872A49" w:rsidRDefault="00872A49" w:rsidP="00B47A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CD80C8"/>
    <w:multiLevelType w:val="singleLevel"/>
    <w:tmpl w:val="8ECD80C8"/>
    <w:lvl w:ilvl="0">
      <w:start w:val="2"/>
      <w:numFmt w:val="chineseCounting"/>
      <w:suff w:val="space"/>
      <w:lvlText w:val="第%1部分"/>
      <w:lvlJc w:val="left"/>
      <w:rPr>
        <w:rFonts w:hint="eastAsia"/>
      </w:rPr>
    </w:lvl>
  </w:abstractNum>
  <w:abstractNum w:abstractNumId="1">
    <w:nsid w:val="9F054430"/>
    <w:multiLevelType w:val="singleLevel"/>
    <w:tmpl w:val="9F054430"/>
    <w:lvl w:ilvl="0">
      <w:start w:val="2"/>
      <w:numFmt w:val="chineseCounting"/>
      <w:suff w:val="nothing"/>
      <w:lvlText w:val="（%1）"/>
      <w:lvlJc w:val="left"/>
      <w:rPr>
        <w:rFonts w:hint="eastAsia"/>
      </w:rPr>
    </w:lvl>
  </w:abstractNum>
  <w:abstractNum w:abstractNumId="2">
    <w:nsid w:val="B128EE28"/>
    <w:multiLevelType w:val="singleLevel"/>
    <w:tmpl w:val="B128EE28"/>
    <w:lvl w:ilvl="0">
      <w:start w:val="2"/>
      <w:numFmt w:val="chineseCounting"/>
      <w:suff w:val="nothing"/>
      <w:lvlText w:val="%1、"/>
      <w:lvlJc w:val="left"/>
      <w:rPr>
        <w:rFonts w:hint="eastAsia"/>
      </w:rPr>
    </w:lvl>
  </w:abstractNum>
  <w:abstractNum w:abstractNumId="3">
    <w:nsid w:val="CDB4A7C7"/>
    <w:multiLevelType w:val="singleLevel"/>
    <w:tmpl w:val="CDB4A7C7"/>
    <w:lvl w:ilvl="0">
      <w:start w:val="13"/>
      <w:numFmt w:val="chineseCounting"/>
      <w:suff w:val="nothing"/>
      <w:lvlText w:val="%1、"/>
      <w:lvlJc w:val="left"/>
      <w:rPr>
        <w:rFonts w:hint="eastAsia"/>
      </w:rPr>
    </w:lvl>
  </w:abstractNum>
  <w:abstractNum w:abstractNumId="4">
    <w:nsid w:val="42186A6F"/>
    <w:multiLevelType w:val="singleLevel"/>
    <w:tmpl w:val="42186A6F"/>
    <w:lvl w:ilvl="0">
      <w:start w:val="4"/>
      <w:numFmt w:val="chineseCounting"/>
      <w:suff w:val="space"/>
      <w:lvlText w:val="第%1部分"/>
      <w:lvlJc w:val="left"/>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kzNzU0YTk3NDgwYjBlNmUwZGRhMGQyYjYxYmE3ZWEifQ=="/>
  </w:docVars>
  <w:rsids>
    <w:rsidRoot w:val="00172A27"/>
    <w:rsid w:val="000150F2"/>
    <w:rsid w:val="00041EA6"/>
    <w:rsid w:val="000978E7"/>
    <w:rsid w:val="000C598C"/>
    <w:rsid w:val="000D0687"/>
    <w:rsid w:val="00115618"/>
    <w:rsid w:val="001507EA"/>
    <w:rsid w:val="00172A27"/>
    <w:rsid w:val="00176360"/>
    <w:rsid w:val="00192FCF"/>
    <w:rsid w:val="00195642"/>
    <w:rsid w:val="002258E4"/>
    <w:rsid w:val="00246B69"/>
    <w:rsid w:val="00292D02"/>
    <w:rsid w:val="00303FD5"/>
    <w:rsid w:val="00345EB2"/>
    <w:rsid w:val="0038162C"/>
    <w:rsid w:val="003E315E"/>
    <w:rsid w:val="00410337"/>
    <w:rsid w:val="0047092E"/>
    <w:rsid w:val="005174AC"/>
    <w:rsid w:val="005D512E"/>
    <w:rsid w:val="005E505E"/>
    <w:rsid w:val="005F7598"/>
    <w:rsid w:val="006037CD"/>
    <w:rsid w:val="006D16F9"/>
    <w:rsid w:val="007460F8"/>
    <w:rsid w:val="007648F8"/>
    <w:rsid w:val="00783155"/>
    <w:rsid w:val="007C2491"/>
    <w:rsid w:val="007D62C5"/>
    <w:rsid w:val="007F7689"/>
    <w:rsid w:val="00863CAD"/>
    <w:rsid w:val="00872A49"/>
    <w:rsid w:val="0087712D"/>
    <w:rsid w:val="00942109"/>
    <w:rsid w:val="009A344F"/>
    <w:rsid w:val="009B452A"/>
    <w:rsid w:val="009E6E4C"/>
    <w:rsid w:val="00AE6567"/>
    <w:rsid w:val="00B2239E"/>
    <w:rsid w:val="00B47AB6"/>
    <w:rsid w:val="00B960C8"/>
    <w:rsid w:val="00BA5169"/>
    <w:rsid w:val="00BB4583"/>
    <w:rsid w:val="00BC7AFB"/>
    <w:rsid w:val="00BF51D1"/>
    <w:rsid w:val="00C35E7B"/>
    <w:rsid w:val="00D72607"/>
    <w:rsid w:val="00D82D1A"/>
    <w:rsid w:val="00E422F9"/>
    <w:rsid w:val="00E442BE"/>
    <w:rsid w:val="00E71342"/>
    <w:rsid w:val="00EB04F5"/>
    <w:rsid w:val="00F34D56"/>
    <w:rsid w:val="00F40983"/>
    <w:rsid w:val="00F63A62"/>
    <w:rsid w:val="00F72879"/>
    <w:rsid w:val="00F82DE8"/>
    <w:rsid w:val="00FE5146"/>
    <w:rsid w:val="00FE5B71"/>
    <w:rsid w:val="00FE7CEA"/>
    <w:rsid w:val="00FF7DDD"/>
    <w:rsid w:val="01257DDA"/>
    <w:rsid w:val="017F49BE"/>
    <w:rsid w:val="01AC5842"/>
    <w:rsid w:val="02420DBF"/>
    <w:rsid w:val="02CD757C"/>
    <w:rsid w:val="03016458"/>
    <w:rsid w:val="036B7A2F"/>
    <w:rsid w:val="03F23405"/>
    <w:rsid w:val="03F86B1C"/>
    <w:rsid w:val="046063D3"/>
    <w:rsid w:val="04DC2960"/>
    <w:rsid w:val="05194C10"/>
    <w:rsid w:val="052A53FB"/>
    <w:rsid w:val="05674A17"/>
    <w:rsid w:val="05CD1092"/>
    <w:rsid w:val="05EF122C"/>
    <w:rsid w:val="06604E4C"/>
    <w:rsid w:val="068F1F19"/>
    <w:rsid w:val="075C5614"/>
    <w:rsid w:val="07A174CB"/>
    <w:rsid w:val="08674270"/>
    <w:rsid w:val="086D1B6C"/>
    <w:rsid w:val="086F56BE"/>
    <w:rsid w:val="08815682"/>
    <w:rsid w:val="090B2132"/>
    <w:rsid w:val="095D5956"/>
    <w:rsid w:val="09BE11B4"/>
    <w:rsid w:val="0A025689"/>
    <w:rsid w:val="0A247ED7"/>
    <w:rsid w:val="0A3A003E"/>
    <w:rsid w:val="0A431D19"/>
    <w:rsid w:val="0A791381"/>
    <w:rsid w:val="0A9072B7"/>
    <w:rsid w:val="0B823BCE"/>
    <w:rsid w:val="0BF3277C"/>
    <w:rsid w:val="0CA044D6"/>
    <w:rsid w:val="0CC94826"/>
    <w:rsid w:val="0D0E67D9"/>
    <w:rsid w:val="0D321C3F"/>
    <w:rsid w:val="0D5A43A4"/>
    <w:rsid w:val="0E682C65"/>
    <w:rsid w:val="0E8A54E0"/>
    <w:rsid w:val="0F1A694A"/>
    <w:rsid w:val="0F2A3388"/>
    <w:rsid w:val="0FAD2CAA"/>
    <w:rsid w:val="10342128"/>
    <w:rsid w:val="104D01F0"/>
    <w:rsid w:val="104E6D46"/>
    <w:rsid w:val="10814651"/>
    <w:rsid w:val="112957E7"/>
    <w:rsid w:val="1146606A"/>
    <w:rsid w:val="11B4155D"/>
    <w:rsid w:val="12824D51"/>
    <w:rsid w:val="128819B3"/>
    <w:rsid w:val="12C765D0"/>
    <w:rsid w:val="12E94936"/>
    <w:rsid w:val="130C4392"/>
    <w:rsid w:val="136B5C3A"/>
    <w:rsid w:val="136D4B39"/>
    <w:rsid w:val="13BD4750"/>
    <w:rsid w:val="13F76DF0"/>
    <w:rsid w:val="13FA068E"/>
    <w:rsid w:val="142C7704"/>
    <w:rsid w:val="14AB7CFC"/>
    <w:rsid w:val="152A4FA3"/>
    <w:rsid w:val="15520056"/>
    <w:rsid w:val="15B65B5B"/>
    <w:rsid w:val="15DA0777"/>
    <w:rsid w:val="16353C00"/>
    <w:rsid w:val="165740FB"/>
    <w:rsid w:val="168F118A"/>
    <w:rsid w:val="169D4B82"/>
    <w:rsid w:val="169F1133"/>
    <w:rsid w:val="17922577"/>
    <w:rsid w:val="180E0310"/>
    <w:rsid w:val="180F5D63"/>
    <w:rsid w:val="18CD0120"/>
    <w:rsid w:val="18F25DD8"/>
    <w:rsid w:val="1A2E2474"/>
    <w:rsid w:val="1A587EBD"/>
    <w:rsid w:val="1A7B096E"/>
    <w:rsid w:val="1AC800C5"/>
    <w:rsid w:val="1AF1658B"/>
    <w:rsid w:val="1B5C77AB"/>
    <w:rsid w:val="1B701D7A"/>
    <w:rsid w:val="1B7404EB"/>
    <w:rsid w:val="1C205BB0"/>
    <w:rsid w:val="1C674213"/>
    <w:rsid w:val="1D1E569E"/>
    <w:rsid w:val="1D7726D3"/>
    <w:rsid w:val="1DD97567"/>
    <w:rsid w:val="1E3B51E6"/>
    <w:rsid w:val="1E7A4F87"/>
    <w:rsid w:val="1EBC7BD5"/>
    <w:rsid w:val="1F8F4C45"/>
    <w:rsid w:val="1FCF29CF"/>
    <w:rsid w:val="1FD816FC"/>
    <w:rsid w:val="20032679"/>
    <w:rsid w:val="206969D3"/>
    <w:rsid w:val="210D3667"/>
    <w:rsid w:val="219F2875"/>
    <w:rsid w:val="21C63505"/>
    <w:rsid w:val="21D35583"/>
    <w:rsid w:val="225C661C"/>
    <w:rsid w:val="22A36211"/>
    <w:rsid w:val="22BE676D"/>
    <w:rsid w:val="2322484B"/>
    <w:rsid w:val="23492A98"/>
    <w:rsid w:val="234F15B7"/>
    <w:rsid w:val="235169A2"/>
    <w:rsid w:val="23F44E0F"/>
    <w:rsid w:val="241C374F"/>
    <w:rsid w:val="24695C48"/>
    <w:rsid w:val="25235262"/>
    <w:rsid w:val="25BC7462"/>
    <w:rsid w:val="26372509"/>
    <w:rsid w:val="26406DE6"/>
    <w:rsid w:val="2669541C"/>
    <w:rsid w:val="2752567D"/>
    <w:rsid w:val="279D5FD1"/>
    <w:rsid w:val="27AD77C0"/>
    <w:rsid w:val="287966F2"/>
    <w:rsid w:val="287C1D82"/>
    <w:rsid w:val="28B644AC"/>
    <w:rsid w:val="28C5118C"/>
    <w:rsid w:val="293F2663"/>
    <w:rsid w:val="29400A9D"/>
    <w:rsid w:val="296C55EC"/>
    <w:rsid w:val="298D1A32"/>
    <w:rsid w:val="298E05F6"/>
    <w:rsid w:val="2A281CCA"/>
    <w:rsid w:val="2B8C0131"/>
    <w:rsid w:val="2BA11B42"/>
    <w:rsid w:val="2BAD31A0"/>
    <w:rsid w:val="2BF10171"/>
    <w:rsid w:val="2C6A3C86"/>
    <w:rsid w:val="2CB72498"/>
    <w:rsid w:val="2D19039A"/>
    <w:rsid w:val="2D4505BF"/>
    <w:rsid w:val="2D5E3253"/>
    <w:rsid w:val="2D817A49"/>
    <w:rsid w:val="2D844526"/>
    <w:rsid w:val="2DEE0948"/>
    <w:rsid w:val="2E5270F9"/>
    <w:rsid w:val="2EE74707"/>
    <w:rsid w:val="30714421"/>
    <w:rsid w:val="3075429F"/>
    <w:rsid w:val="31304251"/>
    <w:rsid w:val="31A3571E"/>
    <w:rsid w:val="31B17087"/>
    <w:rsid w:val="31EF0CAF"/>
    <w:rsid w:val="3216116C"/>
    <w:rsid w:val="321839F7"/>
    <w:rsid w:val="327434BB"/>
    <w:rsid w:val="327C2D0E"/>
    <w:rsid w:val="331502A5"/>
    <w:rsid w:val="33225487"/>
    <w:rsid w:val="332D2F86"/>
    <w:rsid w:val="339E473B"/>
    <w:rsid w:val="342A1FED"/>
    <w:rsid w:val="347F164B"/>
    <w:rsid w:val="34FC47C0"/>
    <w:rsid w:val="34FE7347"/>
    <w:rsid w:val="35216FE2"/>
    <w:rsid w:val="354607EC"/>
    <w:rsid w:val="35585D62"/>
    <w:rsid w:val="35CB0616"/>
    <w:rsid w:val="35CF507F"/>
    <w:rsid w:val="362A5F7B"/>
    <w:rsid w:val="364F0CCA"/>
    <w:rsid w:val="365423FD"/>
    <w:rsid w:val="36E961AB"/>
    <w:rsid w:val="37141057"/>
    <w:rsid w:val="372877DA"/>
    <w:rsid w:val="37D52967"/>
    <w:rsid w:val="385801D3"/>
    <w:rsid w:val="38893D50"/>
    <w:rsid w:val="38A2670A"/>
    <w:rsid w:val="38BE488D"/>
    <w:rsid w:val="38CC1D69"/>
    <w:rsid w:val="38CC3AF8"/>
    <w:rsid w:val="39155E8A"/>
    <w:rsid w:val="39340D74"/>
    <w:rsid w:val="39A77CB4"/>
    <w:rsid w:val="39E43D28"/>
    <w:rsid w:val="3A2F7DC8"/>
    <w:rsid w:val="3A34761E"/>
    <w:rsid w:val="3A35161F"/>
    <w:rsid w:val="3A682C70"/>
    <w:rsid w:val="3A70356C"/>
    <w:rsid w:val="3B85226F"/>
    <w:rsid w:val="3B871F58"/>
    <w:rsid w:val="3BB07E84"/>
    <w:rsid w:val="3CD70179"/>
    <w:rsid w:val="3D9077EA"/>
    <w:rsid w:val="3DD235BF"/>
    <w:rsid w:val="3DD24991"/>
    <w:rsid w:val="3DE2418D"/>
    <w:rsid w:val="3EC443CD"/>
    <w:rsid w:val="3ECC1BAE"/>
    <w:rsid w:val="3ED20604"/>
    <w:rsid w:val="3F111687"/>
    <w:rsid w:val="3F1F3312"/>
    <w:rsid w:val="3F320B3A"/>
    <w:rsid w:val="3F5256A8"/>
    <w:rsid w:val="3F5605BF"/>
    <w:rsid w:val="3F760BD6"/>
    <w:rsid w:val="3FB407E0"/>
    <w:rsid w:val="3FD558B7"/>
    <w:rsid w:val="3FF24A11"/>
    <w:rsid w:val="40173DBC"/>
    <w:rsid w:val="405170A3"/>
    <w:rsid w:val="415249EA"/>
    <w:rsid w:val="41564E27"/>
    <w:rsid w:val="416C5E41"/>
    <w:rsid w:val="41A129A6"/>
    <w:rsid w:val="41AB6874"/>
    <w:rsid w:val="41DE6D8F"/>
    <w:rsid w:val="425902B9"/>
    <w:rsid w:val="43026447"/>
    <w:rsid w:val="43436BF1"/>
    <w:rsid w:val="43A54067"/>
    <w:rsid w:val="43AE720D"/>
    <w:rsid w:val="43C91D40"/>
    <w:rsid w:val="44185071"/>
    <w:rsid w:val="446A77C7"/>
    <w:rsid w:val="458F374A"/>
    <w:rsid w:val="465951C3"/>
    <w:rsid w:val="46A4431F"/>
    <w:rsid w:val="46B207D1"/>
    <w:rsid w:val="46C95B1B"/>
    <w:rsid w:val="46D36C9E"/>
    <w:rsid w:val="46DF0E9A"/>
    <w:rsid w:val="46F522FD"/>
    <w:rsid w:val="470B1C8F"/>
    <w:rsid w:val="47133199"/>
    <w:rsid w:val="472D2B52"/>
    <w:rsid w:val="47532640"/>
    <w:rsid w:val="48612B46"/>
    <w:rsid w:val="49255A89"/>
    <w:rsid w:val="49297D2D"/>
    <w:rsid w:val="493F2FF6"/>
    <w:rsid w:val="49DC6E3E"/>
    <w:rsid w:val="4A45604E"/>
    <w:rsid w:val="4AE445A0"/>
    <w:rsid w:val="4AE750EB"/>
    <w:rsid w:val="4B74235B"/>
    <w:rsid w:val="4B9B7E24"/>
    <w:rsid w:val="4BA51E49"/>
    <w:rsid w:val="4C2110A0"/>
    <w:rsid w:val="4C94557E"/>
    <w:rsid w:val="4CC163EF"/>
    <w:rsid w:val="4CCC3CC4"/>
    <w:rsid w:val="4D034DAF"/>
    <w:rsid w:val="4DB1337B"/>
    <w:rsid w:val="4DCB03CA"/>
    <w:rsid w:val="4DD0778F"/>
    <w:rsid w:val="4E2247F7"/>
    <w:rsid w:val="4E741F6B"/>
    <w:rsid w:val="4F0F7597"/>
    <w:rsid w:val="501A4192"/>
    <w:rsid w:val="507B6464"/>
    <w:rsid w:val="508669F0"/>
    <w:rsid w:val="50E471E1"/>
    <w:rsid w:val="514C73FA"/>
    <w:rsid w:val="51AD74AC"/>
    <w:rsid w:val="51B03FFD"/>
    <w:rsid w:val="51E101BC"/>
    <w:rsid w:val="525543A4"/>
    <w:rsid w:val="52BB78A7"/>
    <w:rsid w:val="52E57838"/>
    <w:rsid w:val="53DF7F32"/>
    <w:rsid w:val="54287C6C"/>
    <w:rsid w:val="54791C7A"/>
    <w:rsid w:val="54AB74B6"/>
    <w:rsid w:val="55AF5A9E"/>
    <w:rsid w:val="55CE7592"/>
    <w:rsid w:val="565537A4"/>
    <w:rsid w:val="566825CC"/>
    <w:rsid w:val="56731F29"/>
    <w:rsid w:val="56D97CC2"/>
    <w:rsid w:val="56DA342C"/>
    <w:rsid w:val="57382FF1"/>
    <w:rsid w:val="57CB2353"/>
    <w:rsid w:val="57CF7BD0"/>
    <w:rsid w:val="57FD26AC"/>
    <w:rsid w:val="58114390"/>
    <w:rsid w:val="585C34F2"/>
    <w:rsid w:val="585F1E3B"/>
    <w:rsid w:val="586E207E"/>
    <w:rsid w:val="58847AF3"/>
    <w:rsid w:val="590A22F2"/>
    <w:rsid w:val="59DA50C6"/>
    <w:rsid w:val="5A1C08F6"/>
    <w:rsid w:val="5A930952"/>
    <w:rsid w:val="5AFF2F4D"/>
    <w:rsid w:val="5C5057B9"/>
    <w:rsid w:val="5D437D2E"/>
    <w:rsid w:val="5D9B58E5"/>
    <w:rsid w:val="5DD40546"/>
    <w:rsid w:val="5DF66D9E"/>
    <w:rsid w:val="5E605BBD"/>
    <w:rsid w:val="5ECA1FD8"/>
    <w:rsid w:val="5ECC743B"/>
    <w:rsid w:val="5F243FFB"/>
    <w:rsid w:val="5FF339BA"/>
    <w:rsid w:val="603B0596"/>
    <w:rsid w:val="60A20EF4"/>
    <w:rsid w:val="61745FC1"/>
    <w:rsid w:val="61906697"/>
    <w:rsid w:val="61A84491"/>
    <w:rsid w:val="61D81265"/>
    <w:rsid w:val="61EB4DB4"/>
    <w:rsid w:val="61F70201"/>
    <w:rsid w:val="621903F0"/>
    <w:rsid w:val="625E13B5"/>
    <w:rsid w:val="62AD1066"/>
    <w:rsid w:val="62E23D94"/>
    <w:rsid w:val="632834EF"/>
    <w:rsid w:val="635731F6"/>
    <w:rsid w:val="63B00FDF"/>
    <w:rsid w:val="647C1E48"/>
    <w:rsid w:val="64D86177"/>
    <w:rsid w:val="658E1FB1"/>
    <w:rsid w:val="65AB59DB"/>
    <w:rsid w:val="65DC556A"/>
    <w:rsid w:val="66261EE3"/>
    <w:rsid w:val="66633175"/>
    <w:rsid w:val="666D0124"/>
    <w:rsid w:val="669D0A5F"/>
    <w:rsid w:val="671B1725"/>
    <w:rsid w:val="672B02F1"/>
    <w:rsid w:val="676B143B"/>
    <w:rsid w:val="67721974"/>
    <w:rsid w:val="67DC0A03"/>
    <w:rsid w:val="6901211F"/>
    <w:rsid w:val="69950145"/>
    <w:rsid w:val="6A4E1D0F"/>
    <w:rsid w:val="6B323762"/>
    <w:rsid w:val="6BAC53E8"/>
    <w:rsid w:val="6E3631E5"/>
    <w:rsid w:val="6F411E43"/>
    <w:rsid w:val="6F4D43F2"/>
    <w:rsid w:val="6F662168"/>
    <w:rsid w:val="707031E9"/>
    <w:rsid w:val="70BD01A6"/>
    <w:rsid w:val="70CE15AA"/>
    <w:rsid w:val="7127008D"/>
    <w:rsid w:val="716501F1"/>
    <w:rsid w:val="71687B5B"/>
    <w:rsid w:val="716A7665"/>
    <w:rsid w:val="717B46BE"/>
    <w:rsid w:val="71BC7FA5"/>
    <w:rsid w:val="71E55383"/>
    <w:rsid w:val="725054F3"/>
    <w:rsid w:val="726026CC"/>
    <w:rsid w:val="72944700"/>
    <w:rsid w:val="736B3932"/>
    <w:rsid w:val="738C598F"/>
    <w:rsid w:val="73EC1283"/>
    <w:rsid w:val="740526D8"/>
    <w:rsid w:val="7539539D"/>
    <w:rsid w:val="758130CB"/>
    <w:rsid w:val="75B30A0C"/>
    <w:rsid w:val="75C356FC"/>
    <w:rsid w:val="75D2624F"/>
    <w:rsid w:val="76165DD7"/>
    <w:rsid w:val="763E532E"/>
    <w:rsid w:val="764F4F89"/>
    <w:rsid w:val="76686157"/>
    <w:rsid w:val="76D64F73"/>
    <w:rsid w:val="7714445C"/>
    <w:rsid w:val="771A39E8"/>
    <w:rsid w:val="776C1F07"/>
    <w:rsid w:val="778A1405"/>
    <w:rsid w:val="78530F51"/>
    <w:rsid w:val="787B124F"/>
    <w:rsid w:val="79223926"/>
    <w:rsid w:val="797E3F97"/>
    <w:rsid w:val="79D3262E"/>
    <w:rsid w:val="7A6E771C"/>
    <w:rsid w:val="7A797BB3"/>
    <w:rsid w:val="7B2F0E48"/>
    <w:rsid w:val="7B64016F"/>
    <w:rsid w:val="7BEF058D"/>
    <w:rsid w:val="7C142D60"/>
    <w:rsid w:val="7C315985"/>
    <w:rsid w:val="7C46787A"/>
    <w:rsid w:val="7C5D1D72"/>
    <w:rsid w:val="7C920E09"/>
    <w:rsid w:val="7D3F23E9"/>
    <w:rsid w:val="7E1959C6"/>
    <w:rsid w:val="7E284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AB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47AB6"/>
    <w:pPr>
      <w:tabs>
        <w:tab w:val="center" w:pos="4153"/>
        <w:tab w:val="right" w:pos="8306"/>
      </w:tabs>
      <w:snapToGrid w:val="0"/>
      <w:jc w:val="left"/>
    </w:pPr>
    <w:rPr>
      <w:sz w:val="18"/>
    </w:rPr>
  </w:style>
  <w:style w:type="paragraph" w:styleId="a4">
    <w:name w:val="header"/>
    <w:basedOn w:val="a"/>
    <w:qFormat/>
    <w:rsid w:val="00B47AB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B47AB6"/>
    <w:pPr>
      <w:widowControl/>
      <w:spacing w:before="100" w:beforeAutospacing="1" w:after="100" w:afterAutospacing="1"/>
      <w:jc w:val="left"/>
    </w:pPr>
    <w:rPr>
      <w:rFonts w:ascii="宋体" w:hAnsi="宋体" w:cs="宋体"/>
      <w:kern w:val="0"/>
      <w:sz w:val="24"/>
    </w:rPr>
  </w:style>
  <w:style w:type="table" w:styleId="a6">
    <w:name w:val="Table Grid"/>
    <w:basedOn w:val="a1"/>
    <w:qFormat/>
    <w:rsid w:val="00B47AB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
    <w:rsid w:val="007D62C5"/>
    <w:rPr>
      <w:sz w:val="18"/>
      <w:szCs w:val="18"/>
    </w:rPr>
  </w:style>
  <w:style w:type="character" w:customStyle="1" w:styleId="Char">
    <w:name w:val="批注框文本 Char"/>
    <w:basedOn w:val="a0"/>
    <w:link w:val="a7"/>
    <w:rsid w:val="007D62C5"/>
    <w:rPr>
      <w:rFonts w:ascii="Calibri" w:hAnsi="Calibri"/>
      <w:kern w:val="2"/>
      <w:sz w:val="18"/>
      <w:szCs w:val="18"/>
    </w:rPr>
  </w:style>
  <w:style w:type="paragraph" w:styleId="a8">
    <w:name w:val="List Paragraph"/>
    <w:basedOn w:val="a"/>
    <w:uiPriority w:val="99"/>
    <w:unhideWhenUsed/>
    <w:rsid w:val="005E505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5</c:v>
                </c:pt>
              </c:strCache>
            </c:strRef>
          </c:tx>
          <c:cat>
            <c:strRef>
              <c:f>Sheet1!$A$2:$A$5</c:f>
              <c:strCache>
                <c:ptCount val="2"/>
                <c:pt idx="0">
                  <c:v>在职</c:v>
                </c:pt>
                <c:pt idx="1">
                  <c:v>实有</c:v>
                </c:pt>
              </c:strCache>
            </c:strRef>
          </c:cat>
          <c:val>
            <c:numRef>
              <c:f>Sheet1!$B$2:$B$5</c:f>
              <c:numCache>
                <c:formatCode>General</c:formatCode>
                <c:ptCount val="4"/>
                <c:pt idx="0">
                  <c:v>5</c:v>
                </c:pt>
                <c:pt idx="1">
                  <c:v>5</c:v>
                </c:pt>
              </c:numCache>
            </c:numRef>
          </c:val>
        </c:ser>
        <c:ser>
          <c:idx val="1"/>
          <c:order val="1"/>
          <c:tx>
            <c:strRef>
              <c:f>Sheet1!$C$1</c:f>
              <c:strCache>
                <c:ptCount val="1"/>
                <c:pt idx="0">
                  <c:v>52</c:v>
                </c:pt>
              </c:strCache>
            </c:strRef>
          </c:tx>
          <c:cat>
            <c:strRef>
              <c:f>Sheet1!$A$2:$A$5</c:f>
              <c:strCache>
                <c:ptCount val="2"/>
                <c:pt idx="0">
                  <c:v>在职</c:v>
                </c:pt>
                <c:pt idx="1">
                  <c:v>实有</c:v>
                </c:pt>
              </c:strCache>
            </c:strRef>
          </c:cat>
          <c:val>
            <c:numRef>
              <c:f>Sheet1!$C$2:$C$5</c:f>
              <c:numCache>
                <c:formatCode>General</c:formatCode>
                <c:ptCount val="4"/>
              </c:numCache>
            </c:numRef>
          </c:val>
        </c:ser>
        <c:ser>
          <c:idx val="2"/>
          <c:order val="2"/>
          <c:tx>
            <c:strRef>
              <c:f>Sheet1!$D$1</c:f>
              <c:strCache>
                <c:ptCount val="1"/>
                <c:pt idx="0">
                  <c:v>列1</c:v>
                </c:pt>
              </c:strCache>
            </c:strRef>
          </c:tx>
          <c:cat>
            <c:strRef>
              <c:f>Sheet1!$A$2:$A$5</c:f>
              <c:strCache>
                <c:ptCount val="2"/>
                <c:pt idx="0">
                  <c:v>在职</c:v>
                </c:pt>
                <c:pt idx="1">
                  <c:v>实有</c:v>
                </c:pt>
              </c:strCache>
            </c:strRef>
          </c:cat>
          <c:val>
            <c:numRef>
              <c:f>Sheet1!$D$2:$D$5</c:f>
              <c:numCache>
                <c:formatCode>General</c:formatCode>
                <c:ptCount val="4"/>
              </c:numCache>
            </c:numRef>
          </c:val>
        </c:ser>
        <c:axId val="238783488"/>
        <c:axId val="238789376"/>
      </c:barChart>
      <c:catAx>
        <c:axId val="238783488"/>
        <c:scaling>
          <c:orientation val="minMax"/>
        </c:scaling>
        <c:axPos val="b"/>
        <c:tickLblPos val="nextTo"/>
        <c:crossAx val="238789376"/>
        <c:crosses val="autoZero"/>
        <c:auto val="1"/>
        <c:lblAlgn val="ctr"/>
        <c:lblOffset val="100"/>
      </c:catAx>
      <c:valAx>
        <c:axId val="238789376"/>
        <c:scaling>
          <c:orientation val="minMax"/>
        </c:scaling>
        <c:axPos val="l"/>
        <c:majorGridlines/>
        <c:numFmt formatCode="General" sourceLinked="1"/>
        <c:tickLblPos val="nextTo"/>
        <c:crossAx val="23878348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tx>
            <c:strRef>
              <c:f>Sheet1!$B$1</c:f>
              <c:strCache>
                <c:ptCount val="1"/>
                <c:pt idx="0">
                  <c:v>2021</c:v>
                </c:pt>
              </c:strCache>
            </c:strRef>
          </c:tx>
          <c:cat>
            <c:strRef>
              <c:f>Sheet1!$A$2:$A$5</c:f>
              <c:strCache>
                <c:ptCount val="2"/>
                <c:pt idx="0">
                  <c:v>总收入</c:v>
                </c:pt>
                <c:pt idx="1">
                  <c:v>总支出</c:v>
                </c:pt>
              </c:strCache>
            </c:strRef>
          </c:cat>
          <c:val>
            <c:numRef>
              <c:f>Sheet1!$B$2:$B$5</c:f>
              <c:numCache>
                <c:formatCode>General</c:formatCode>
                <c:ptCount val="4"/>
                <c:pt idx="0">
                  <c:v>273.97999999999973</c:v>
                </c:pt>
                <c:pt idx="1">
                  <c:v>273.97999999999973</c:v>
                </c:pt>
              </c:numCache>
            </c:numRef>
          </c:val>
        </c:ser>
        <c:ser>
          <c:idx val="1"/>
          <c:order val="1"/>
          <c:tx>
            <c:strRef>
              <c:f>Sheet1!$C$1</c:f>
              <c:strCache>
                <c:ptCount val="1"/>
                <c:pt idx="0">
                  <c:v>2020</c:v>
                </c:pt>
              </c:strCache>
            </c:strRef>
          </c:tx>
          <c:cat>
            <c:strRef>
              <c:f>Sheet1!$A$2:$A$5</c:f>
              <c:strCache>
                <c:ptCount val="2"/>
                <c:pt idx="0">
                  <c:v>总收入</c:v>
                </c:pt>
                <c:pt idx="1">
                  <c:v>总支出</c:v>
                </c:pt>
              </c:strCache>
            </c:strRef>
          </c:cat>
          <c:val>
            <c:numRef>
              <c:f>Sheet1!$C$2:$C$5</c:f>
              <c:numCache>
                <c:formatCode>General</c:formatCode>
                <c:ptCount val="4"/>
                <c:pt idx="0">
                  <c:v>142.12</c:v>
                </c:pt>
                <c:pt idx="1">
                  <c:v>124.11999999999999</c:v>
                </c:pt>
              </c:numCache>
            </c:numRef>
          </c:val>
        </c:ser>
        <c:ser>
          <c:idx val="2"/>
          <c:order val="2"/>
          <c:tx>
            <c:strRef>
              <c:f>Sheet1!$D$1</c:f>
              <c:strCache>
                <c:ptCount val="1"/>
                <c:pt idx="0">
                  <c:v>列1</c:v>
                </c:pt>
              </c:strCache>
            </c:strRef>
          </c:tx>
          <c:cat>
            <c:strRef>
              <c:f>Sheet1!$A$2:$A$5</c:f>
              <c:strCache>
                <c:ptCount val="2"/>
                <c:pt idx="0">
                  <c:v>总收入</c:v>
                </c:pt>
                <c:pt idx="1">
                  <c:v>总支出</c:v>
                </c:pt>
              </c:strCache>
            </c:strRef>
          </c:cat>
          <c:val>
            <c:numRef>
              <c:f>Sheet1!$D$2:$D$5</c:f>
              <c:numCache>
                <c:formatCode>General</c:formatCode>
                <c:ptCount val="4"/>
              </c:numCache>
            </c:numRef>
          </c:val>
        </c:ser>
        <c:axId val="238810624"/>
        <c:axId val="238812160"/>
      </c:barChart>
      <c:catAx>
        <c:axId val="238810624"/>
        <c:scaling>
          <c:orientation val="minMax"/>
        </c:scaling>
        <c:axPos val="b"/>
        <c:tickLblPos val="nextTo"/>
        <c:crossAx val="238812160"/>
        <c:crosses val="autoZero"/>
        <c:auto val="1"/>
        <c:lblAlgn val="ctr"/>
        <c:lblOffset val="100"/>
      </c:catAx>
      <c:valAx>
        <c:axId val="238812160"/>
        <c:scaling>
          <c:orientation val="minMax"/>
        </c:scaling>
        <c:axPos val="l"/>
        <c:majorGridlines/>
        <c:numFmt formatCode="General" sourceLinked="1"/>
        <c:tickLblPos val="nextTo"/>
        <c:crossAx val="23881062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plotArea>
      <c:layout/>
      <c:pieChart>
        <c:varyColors val="1"/>
        <c:ser>
          <c:idx val="0"/>
          <c:order val="0"/>
          <c:tx>
            <c:strRef>
              <c:f>Sheet1!$B$1</c:f>
              <c:strCache>
                <c:ptCount val="1"/>
                <c:pt idx="0">
                  <c:v>2021年收入构成（万元）</c:v>
                </c:pt>
              </c:strCache>
            </c:strRef>
          </c:tx>
          <c:cat>
            <c:strRef>
              <c:f>Sheet1!$A$2:$A$6</c:f>
              <c:strCache>
                <c:ptCount val="5"/>
                <c:pt idx="0">
                  <c:v>财政拨款收入</c:v>
                </c:pt>
                <c:pt idx="1">
                  <c:v>事业收入</c:v>
                </c:pt>
                <c:pt idx="2">
                  <c:v>经营收入</c:v>
                </c:pt>
                <c:pt idx="3">
                  <c:v>其他收入</c:v>
                </c:pt>
                <c:pt idx="4">
                  <c:v>上年度结余</c:v>
                </c:pt>
              </c:strCache>
            </c:strRef>
          </c:cat>
          <c:val>
            <c:numRef>
              <c:f>Sheet1!$B$2:$B$6</c:f>
              <c:numCache>
                <c:formatCode>General</c:formatCode>
                <c:ptCount val="5"/>
                <c:pt idx="0">
                  <c:v>76.2</c:v>
                </c:pt>
                <c:pt idx="1">
                  <c:v>0</c:v>
                </c:pt>
                <c:pt idx="2">
                  <c:v>0</c:v>
                </c:pt>
                <c:pt idx="3">
                  <c:v>145</c:v>
                </c:pt>
                <c:pt idx="4">
                  <c:v>52.78</c:v>
                </c:pt>
              </c:numCache>
            </c:numRef>
          </c:val>
        </c:ser>
        <c:firstSliceAng val="0"/>
      </c:pieChart>
    </c:plotArea>
    <c:legend>
      <c:legendPos val="r"/>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plotArea>
      <c:layout/>
      <c:pieChart>
        <c:varyColors val="1"/>
        <c:ser>
          <c:idx val="0"/>
          <c:order val="0"/>
          <c:tx>
            <c:strRef>
              <c:f>Sheet1!$B$1</c:f>
              <c:strCache>
                <c:ptCount val="1"/>
                <c:pt idx="0">
                  <c:v>2021年支出构成（万元）</c:v>
                </c:pt>
              </c:strCache>
            </c:strRef>
          </c:tx>
          <c:cat>
            <c:strRef>
              <c:f>Sheet1!$A$2:$A$5</c:f>
              <c:strCache>
                <c:ptCount val="3"/>
                <c:pt idx="0">
                  <c:v>基本支出</c:v>
                </c:pt>
                <c:pt idx="1">
                  <c:v>其他支出</c:v>
                </c:pt>
                <c:pt idx="2">
                  <c:v>经营支出</c:v>
                </c:pt>
              </c:strCache>
            </c:strRef>
          </c:cat>
          <c:val>
            <c:numRef>
              <c:f>Sheet1!$B$2:$B$5</c:f>
              <c:numCache>
                <c:formatCode>General</c:formatCode>
                <c:ptCount val="4"/>
                <c:pt idx="0">
                  <c:v>76.22</c:v>
                </c:pt>
                <c:pt idx="1">
                  <c:v>197.78</c:v>
                </c:pt>
                <c:pt idx="2">
                  <c:v>0</c:v>
                </c:pt>
              </c:numCache>
            </c:numRef>
          </c:val>
        </c:ser>
        <c:firstSliceAng val="0"/>
      </c:pieChart>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0.42078</cdr:x>
      <cdr:y>0.28173</cdr:y>
    </cdr:from>
    <cdr:to>
      <cdr:x>0.55984</cdr:x>
      <cdr:y>0.52941</cdr:y>
    </cdr:to>
    <cdr:sp macro="" textlink="">
      <cdr:nvSpPr>
        <cdr:cNvPr id="3" name="矩形 2"/>
        <cdr:cNvSpPr/>
      </cdr:nvSpPr>
      <cdr:spPr>
        <a:xfrm xmlns:a="http://schemas.openxmlformats.org/drawingml/2006/main">
          <a:off x="2219325" y="866775"/>
          <a:ext cx="733425" cy="762000"/>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zh-CN" altLang="en-US"/>
            <a:t>财政拨款</a:t>
          </a:r>
          <a:r>
            <a:rPr lang="en-US" altLang="zh-CN"/>
            <a:t>76.2,27%</a:t>
          </a:r>
          <a:endParaRPr lang="zh-CN"/>
        </a:p>
      </cdr:txBody>
    </cdr:sp>
  </cdr:relSizeAnchor>
  <cdr:relSizeAnchor xmlns:cdr="http://schemas.openxmlformats.org/drawingml/2006/chartDrawing">
    <cdr:from>
      <cdr:x>0.29075</cdr:x>
      <cdr:y>0.65015</cdr:y>
    </cdr:from>
    <cdr:to>
      <cdr:x>0.49121</cdr:x>
      <cdr:y>0.87307</cdr:y>
    </cdr:to>
    <cdr:sp macro="" textlink="">
      <cdr:nvSpPr>
        <cdr:cNvPr id="4" name="矩形 3"/>
        <cdr:cNvSpPr/>
      </cdr:nvSpPr>
      <cdr:spPr>
        <a:xfrm xmlns:a="http://schemas.openxmlformats.org/drawingml/2006/main">
          <a:off x="1533525" y="2000250"/>
          <a:ext cx="1057275" cy="685800"/>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zh-CN" altLang="en-US"/>
            <a:t>其他收入</a:t>
          </a:r>
          <a:r>
            <a:rPr lang="en-US" altLang="zh-CN"/>
            <a:t>145</a:t>
          </a:r>
          <a:r>
            <a:rPr lang="zh-CN" altLang="en-US"/>
            <a:t>万元，占</a:t>
          </a:r>
          <a:r>
            <a:rPr lang="en-US" altLang="zh-CN"/>
            <a:t>54%</a:t>
          </a:r>
          <a:endParaRPr lang="zh-CN"/>
        </a:p>
      </cdr:txBody>
    </cdr:sp>
  </cdr:relSizeAnchor>
  <cdr:relSizeAnchor xmlns:cdr="http://schemas.openxmlformats.org/drawingml/2006/chartDrawing">
    <cdr:from>
      <cdr:x>0.2131</cdr:x>
      <cdr:y>0.26625</cdr:y>
    </cdr:from>
    <cdr:to>
      <cdr:x>0.39189</cdr:x>
      <cdr:y>0.50464</cdr:y>
    </cdr:to>
    <cdr:sp macro="" textlink="">
      <cdr:nvSpPr>
        <cdr:cNvPr id="5" name="椭圆 4"/>
        <cdr:cNvSpPr/>
      </cdr:nvSpPr>
      <cdr:spPr>
        <a:xfrm xmlns:a="http://schemas.openxmlformats.org/drawingml/2006/main">
          <a:off x="1123950" y="819150"/>
          <a:ext cx="942975" cy="733425"/>
        </a:xfrm>
        <a:prstGeom xmlns:a="http://schemas.openxmlformats.org/drawingml/2006/main" prst="ellipse">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zh-CN" altLang="en-US"/>
            <a:t>结余</a:t>
          </a:r>
          <a:r>
            <a:rPr lang="en-US" altLang="zh-CN"/>
            <a:t>52.78</a:t>
          </a:r>
          <a:r>
            <a:rPr lang="zh-CN" altLang="en-US"/>
            <a:t>，</a:t>
          </a:r>
          <a:r>
            <a:rPr lang="en-US" altLang="zh-CN"/>
            <a:t>19%</a:t>
          </a:r>
          <a:endParaRPr lang="zh-CN"/>
        </a:p>
      </cdr:txBody>
    </cdr:sp>
  </cdr:relSizeAnchor>
</c:userShapes>
</file>

<file path=word/drawings/drawing2.xml><?xml version="1.0" encoding="utf-8"?>
<c:userShapes xmlns:c="http://schemas.openxmlformats.org/drawingml/2006/chart">
  <cdr:relSizeAnchor xmlns:cdr="http://schemas.openxmlformats.org/drawingml/2006/chartDrawing">
    <cdr:from>
      <cdr:x>0.43162</cdr:x>
      <cdr:y>0.34675</cdr:y>
    </cdr:from>
    <cdr:to>
      <cdr:x>0.59595</cdr:x>
      <cdr:y>0.56656</cdr:y>
    </cdr:to>
    <cdr:sp macro="" textlink="">
      <cdr:nvSpPr>
        <cdr:cNvPr id="2" name="矩形 1"/>
        <cdr:cNvSpPr/>
      </cdr:nvSpPr>
      <cdr:spPr>
        <a:xfrm xmlns:a="http://schemas.openxmlformats.org/drawingml/2006/main">
          <a:off x="2276475" y="1066799"/>
          <a:ext cx="866775" cy="676275"/>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zh-CN" altLang="en-US"/>
            <a:t>基本支出</a:t>
          </a:r>
          <a:r>
            <a:rPr lang="en-US" altLang="zh-CN"/>
            <a:t>76.22,28%</a:t>
          </a:r>
          <a:endParaRPr lang="zh-CN"/>
        </a:p>
      </cdr:txBody>
    </cdr:sp>
  </cdr:relSizeAnchor>
  <cdr:relSizeAnchor xmlns:cdr="http://schemas.openxmlformats.org/drawingml/2006/chartDrawing">
    <cdr:from>
      <cdr:x>0.28534</cdr:x>
      <cdr:y>0.6192</cdr:y>
    </cdr:from>
    <cdr:to>
      <cdr:x>0.54539</cdr:x>
      <cdr:y>0.8452</cdr:y>
    </cdr:to>
    <cdr:sp macro="" textlink="">
      <cdr:nvSpPr>
        <cdr:cNvPr id="3" name="矩形 2"/>
        <cdr:cNvSpPr/>
      </cdr:nvSpPr>
      <cdr:spPr>
        <a:xfrm xmlns:a="http://schemas.openxmlformats.org/drawingml/2006/main">
          <a:off x="1504950" y="1905000"/>
          <a:ext cx="1371600" cy="695325"/>
        </a:xfrm>
        <a:prstGeom xmlns:a="http://schemas.openxmlformats.org/drawingml/2006/main" prst="rect">
          <a:avLst/>
        </a:prstGeom>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zh-CN" altLang="en-US"/>
            <a:t>其他支出</a:t>
          </a:r>
          <a:r>
            <a:rPr lang="en-US" altLang="zh-CN"/>
            <a:t>197.78,72%</a:t>
          </a:r>
          <a:endParaRPr lang="zh-CN"/>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890</Words>
  <Characters>5077</Characters>
  <Application>Microsoft Office Word</Application>
  <DocSecurity>0</DocSecurity>
  <Lines>42</Lines>
  <Paragraphs>11</Paragraphs>
  <ScaleCrop>false</ScaleCrop>
  <Company/>
  <LinksUpToDate>false</LinksUpToDate>
  <CharactersWithSpaces>5956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12</cp:revision>
  <cp:lastPrinted>2021-09-24T01:23:00Z</cp:lastPrinted>
  <dcterms:created xsi:type="dcterms:W3CDTF">2022-11-09T09:00:00Z</dcterms:created>
  <dcterms:modified xsi:type="dcterms:W3CDTF">2022-11-10T01:00:00Z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5F751703D4324380B9D59CC7CE846940</vt:lpwstr>
  </property>
</Properties>
</file>