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重点污染源环境信息公开栏</w:t>
      </w:r>
    </w:p>
    <w:p>
      <w:pPr>
        <w:spacing w:line="500" w:lineRule="exact"/>
        <w:jc w:val="center"/>
        <w:rPr>
          <w:rFonts w:hint="eastAsia" w:ascii="宋体" w:hAnsi="宋体" w:eastAsia="宋体" w:cs="宋体"/>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522"/>
        <w:gridCol w:w="2003"/>
        <w:gridCol w:w="2460"/>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企业名称</w:t>
            </w:r>
          </w:p>
        </w:tc>
        <w:tc>
          <w:tcPr>
            <w:tcW w:w="3525" w:type="dxa"/>
            <w:gridSpan w:val="2"/>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洛南县垃圾处理场</w:t>
            </w:r>
          </w:p>
        </w:tc>
        <w:tc>
          <w:tcPr>
            <w:tcW w:w="2460"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社会统一信用代码</w:t>
            </w:r>
          </w:p>
        </w:tc>
        <w:tc>
          <w:tcPr>
            <w:tcW w:w="2393"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12611021087841506L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生产地址</w:t>
            </w:r>
          </w:p>
        </w:tc>
        <w:tc>
          <w:tcPr>
            <w:tcW w:w="3525" w:type="dxa"/>
            <w:gridSpan w:val="2"/>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洛南县城关街办樊湾社区十三组</w:t>
            </w:r>
          </w:p>
        </w:tc>
        <w:tc>
          <w:tcPr>
            <w:tcW w:w="24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代表人</w:t>
            </w:r>
          </w:p>
        </w:tc>
        <w:tc>
          <w:tcPr>
            <w:tcW w:w="2393" w:type="dxa"/>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孙贵锋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3525" w:type="dxa"/>
            <w:gridSpan w:val="2"/>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15191690188</w:t>
            </w:r>
          </w:p>
        </w:tc>
        <w:tc>
          <w:tcPr>
            <w:tcW w:w="2460"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环保举报热线</w:t>
            </w:r>
          </w:p>
        </w:tc>
        <w:tc>
          <w:tcPr>
            <w:tcW w:w="2393"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经营范围</w:t>
            </w:r>
          </w:p>
        </w:tc>
        <w:tc>
          <w:tcPr>
            <w:tcW w:w="8378" w:type="dxa"/>
            <w:gridSpan w:val="4"/>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城区生活垃圾的收集清运及无害化处理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排污信息</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污染物名称</w:t>
            </w:r>
          </w:p>
        </w:tc>
        <w:tc>
          <w:tcPr>
            <w:tcW w:w="6856" w:type="dxa"/>
            <w:gridSpan w:val="3"/>
            <w:noWrap w:val="0"/>
            <w:vAlign w:val="center"/>
          </w:tcPr>
          <w:p>
            <w:pPr>
              <w:pStyle w:val="11"/>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渗滤液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排污口设置</w:t>
            </w:r>
          </w:p>
        </w:tc>
        <w:tc>
          <w:tcPr>
            <w:tcW w:w="68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调节池、1号2号收集池将渗滤液收集后进行处理无外排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执行标准</w:t>
            </w:r>
          </w:p>
        </w:tc>
        <w:tc>
          <w:tcPr>
            <w:tcW w:w="68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生活垃圾填埋污染控制标准(GB16889-2008)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核准总量</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达标情况</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渗滤液处理站将渗滤液处理达标后用于库区绿化灌溉及洒水降尘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环境行政许可</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项目环评</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《商洛市环境保护局关于对洛南县城市生活垃圾卫生填埋场建设项目环境影响报告书的批复》   商政环发【2011】13号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排污许可证</w:t>
            </w:r>
          </w:p>
        </w:tc>
        <w:tc>
          <w:tcPr>
            <w:tcW w:w="6856" w:type="dxa"/>
            <w:gridSpan w:val="3"/>
            <w:noWrap w:val="0"/>
            <w:vAlign w:val="center"/>
          </w:tcPr>
          <w:p>
            <w:pP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正在办理中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5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污染防治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设施建设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运行情况</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废水</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废气</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废渣</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噪声</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环境应急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情况</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应急设施</w:t>
            </w:r>
          </w:p>
        </w:tc>
        <w:tc>
          <w:tcPr>
            <w:tcW w:w="6856" w:type="dxa"/>
            <w:gridSpan w:val="3"/>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配备有应急救援物资库，贮备有防火、</w:t>
            </w:r>
            <w:r>
              <w:rPr>
                <w:rFonts w:hint="eastAsia" w:ascii="宋体" w:hAnsi="宋体" w:eastAsia="宋体" w:cs="宋体"/>
                <w:sz w:val="24"/>
                <w:szCs w:val="24"/>
                <w:lang w:eastAsia="zh-CN"/>
              </w:rPr>
              <w:t>防</w:t>
            </w:r>
            <w:r>
              <w:rPr>
                <w:rFonts w:hint="eastAsia" w:ascii="宋体" w:hAnsi="宋体" w:eastAsia="宋体" w:cs="宋体"/>
                <w:sz w:val="24"/>
                <w:szCs w:val="24"/>
              </w:rPr>
              <w:t>烧伤等救援物资。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应急预案</w:t>
            </w:r>
          </w:p>
        </w:tc>
        <w:tc>
          <w:tcPr>
            <w:tcW w:w="6856" w:type="dxa"/>
            <w:gridSpan w:val="3"/>
            <w:noWrap w:val="0"/>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2021年4月</w:t>
            </w:r>
            <w:r>
              <w:rPr>
                <w:rFonts w:hint="eastAsia" w:ascii="宋体" w:hAnsi="宋体" w:eastAsia="宋体" w:cs="宋体"/>
                <w:sz w:val="24"/>
                <w:szCs w:val="24"/>
              </w:rPr>
              <w:t>份</w:t>
            </w:r>
            <w:r>
              <w:rPr>
                <w:rFonts w:hint="eastAsia" w:ascii="宋体" w:hAnsi="宋体" w:eastAsia="宋体" w:cs="宋体"/>
                <w:sz w:val="24"/>
                <w:szCs w:val="24"/>
                <w:lang w:eastAsia="zh-CN"/>
              </w:rPr>
              <w:t>在</w:t>
            </w:r>
            <w:r>
              <w:rPr>
                <w:rFonts w:hint="eastAsia" w:ascii="宋体" w:hAnsi="宋体" w:cs="宋体"/>
                <w:sz w:val="24"/>
                <w:szCs w:val="24"/>
                <w:lang w:eastAsia="zh-CN"/>
              </w:rPr>
              <w:t>商洛市环境局洛南县分局</w:t>
            </w:r>
            <w:bookmarkStart w:id="0" w:name="_GoBack"/>
            <w:bookmarkEnd w:id="0"/>
            <w:r>
              <w:rPr>
                <w:rFonts w:hint="eastAsia" w:ascii="宋体" w:hAnsi="宋体" w:eastAsia="宋体" w:cs="宋体"/>
                <w:sz w:val="24"/>
                <w:szCs w:val="24"/>
                <w:lang w:eastAsia="zh-CN"/>
              </w:rPr>
              <w:t>备案《洛南县垃圾处理场突发环境事件应急预案》，备案编号：</w:t>
            </w:r>
            <w:r>
              <w:rPr>
                <w:rFonts w:hint="eastAsia" w:ascii="宋体" w:hAnsi="宋体" w:eastAsia="宋体" w:cs="宋体"/>
                <w:sz w:val="24"/>
                <w:szCs w:val="24"/>
                <w:lang w:val="en-US" w:eastAsia="zh-CN"/>
              </w:rPr>
              <w:t>611021202106L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8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6856" w:type="dxa"/>
            <w:gridSpan w:val="3"/>
            <w:vAlign w:val="center"/>
          </w:tcPr>
          <w:p>
            <w:pPr>
              <w:spacing w:line="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8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152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4"/>
                <w:szCs w:val="24"/>
              </w:rPr>
            </w:pPr>
          </w:p>
        </w:tc>
        <w:tc>
          <w:tcPr>
            <w:tcW w:w="6856" w:type="dxa"/>
            <w:gridSpan w:val="3"/>
            <w:vAlign w:val="center"/>
          </w:tcPr>
          <w:p>
            <w:pPr>
              <w:spacing w:line="0" w:lineRule="atLeast"/>
              <w:rPr>
                <w:rFonts w:hint="eastAsia" w:ascii="宋体" w:hAnsi="宋体" w:eastAsia="宋体" w:cs="宋体"/>
                <w:kern w:val="2"/>
                <w:sz w:val="24"/>
                <w:szCs w:val="24"/>
                <w:lang w:val="en-US" w:eastAsia="zh-CN" w:bidi="ar-SA"/>
              </w:rPr>
            </w:pPr>
          </w:p>
        </w:tc>
      </w:tr>
    </w:tbl>
    <w:p>
      <w:pPr>
        <w:spacing w:line="0" w:lineRule="atLeast"/>
        <w:ind w:firstLine="1446" w:firstLineChars="400"/>
        <w:jc w:val="center"/>
        <w:rPr>
          <w:rFonts w:hint="eastAsia" w:ascii="宋体" w:hAnsi="宋体" w:eastAsia="宋体" w:cs="宋体"/>
          <w:b/>
          <w:bCs/>
          <w:sz w:val="36"/>
          <w:szCs w:val="36"/>
        </w:rPr>
      </w:pPr>
      <w:r>
        <w:rPr>
          <w:rFonts w:hint="eastAsia" w:ascii="宋体" w:hAnsi="宋体" w:eastAsia="宋体" w:cs="宋体"/>
          <w:b/>
          <w:bCs/>
          <w:sz w:val="36"/>
          <w:szCs w:val="36"/>
        </w:rPr>
        <w:t>企业事业单位环境信息公开表</w:t>
      </w: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r>
        <w:rPr>
          <w:rFonts w:hint="eastAsia" w:ascii="宋体" w:hAnsi="宋体" w:eastAsia="宋体" w:cs="宋体"/>
          <w:sz w:val="24"/>
          <w:szCs w:val="24"/>
        </w:rPr>
        <w:t>一、基础信息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868"/>
        <w:gridCol w:w="175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8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洛南县垃圾处理场</w:t>
            </w:r>
          </w:p>
        </w:tc>
        <w:tc>
          <w:tcPr>
            <w:tcW w:w="175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社会统一信用代码</w:t>
            </w:r>
          </w:p>
        </w:tc>
        <w:tc>
          <w:tcPr>
            <w:tcW w:w="283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12611021087841506L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18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生产地址</w:t>
            </w:r>
          </w:p>
        </w:tc>
        <w:tc>
          <w:tcPr>
            <w:tcW w:w="28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洛南县城关街办樊湾社区十三组</w:t>
            </w:r>
          </w:p>
        </w:tc>
        <w:tc>
          <w:tcPr>
            <w:tcW w:w="175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w:t>
            </w:r>
          </w:p>
          <w:p>
            <w:pPr>
              <w:jc w:val="center"/>
              <w:rPr>
                <w:rFonts w:hint="eastAsia" w:ascii="宋体" w:hAnsi="宋体" w:eastAsia="宋体" w:cs="宋体"/>
                <w:sz w:val="24"/>
                <w:szCs w:val="24"/>
              </w:rPr>
            </w:pPr>
            <w:r>
              <w:rPr>
                <w:rFonts w:hint="eastAsia" w:ascii="宋体" w:hAnsi="宋体" w:eastAsia="宋体" w:cs="宋体"/>
                <w:sz w:val="24"/>
                <w:szCs w:val="24"/>
              </w:rPr>
              <w:t>代表人</w:t>
            </w:r>
          </w:p>
        </w:tc>
        <w:tc>
          <w:tcPr>
            <w:tcW w:w="283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孙贵锋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18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868"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15191690188</w:t>
            </w:r>
          </w:p>
        </w:tc>
        <w:tc>
          <w:tcPr>
            <w:tcW w:w="1755"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环保举报热线</w:t>
            </w:r>
          </w:p>
        </w:tc>
        <w:tc>
          <w:tcPr>
            <w:tcW w:w="2835"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 xml:space="preserve">   经营范围</w:t>
            </w:r>
          </w:p>
        </w:tc>
        <w:tc>
          <w:tcPr>
            <w:tcW w:w="7458" w:type="dxa"/>
            <w:gridSpan w:val="3"/>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城区生活垃圾的收集清运及无害化处理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8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主要产品及产量</w:t>
            </w:r>
          </w:p>
        </w:tc>
        <w:tc>
          <w:tcPr>
            <w:tcW w:w="7458" w:type="dxa"/>
            <w:gridSpan w:val="3"/>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bl>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r>
        <w:rPr>
          <w:rFonts w:hint="eastAsia" w:ascii="宋体" w:hAnsi="宋体" w:eastAsia="宋体" w:cs="宋体"/>
          <w:sz w:val="24"/>
          <w:szCs w:val="24"/>
        </w:rPr>
        <w:t>二、排污信息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13"/>
        <w:gridCol w:w="116"/>
        <w:gridCol w:w="968"/>
        <w:gridCol w:w="787"/>
        <w:gridCol w:w="287"/>
        <w:gridCol w:w="930"/>
        <w:gridCol w:w="186"/>
        <w:gridCol w:w="703"/>
        <w:gridCol w:w="617"/>
        <w:gridCol w:w="319"/>
        <w:gridCol w:w="204"/>
        <w:gridCol w:w="759"/>
        <w:gridCol w:w="6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782" w:type="dxa"/>
            <w:gridSpan w:val="15"/>
            <w:noWrap w:val="0"/>
            <w:vAlign w:val="top"/>
          </w:tcPr>
          <w:p>
            <w:pPr>
              <w:spacing w:line="0" w:lineRule="atLeast"/>
              <w:rPr>
                <w:rFonts w:hint="eastAsia" w:ascii="宋体" w:hAnsi="宋体" w:eastAsia="宋体" w:cs="宋体"/>
                <w:sz w:val="24"/>
                <w:szCs w:val="24"/>
              </w:rPr>
            </w:pPr>
            <w:r>
              <w:rPr>
                <w:rFonts w:hint="eastAsia" w:ascii="宋体" w:hAnsi="宋体" w:eastAsia="宋体" w:cs="宋体"/>
                <w:sz w:val="24"/>
                <w:szCs w:val="24"/>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343" w:type="dxa"/>
            <w:gridSpan w:val="7"/>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排放口数量</w:t>
            </w:r>
          </w:p>
        </w:tc>
        <w:tc>
          <w:tcPr>
            <w:tcW w:w="4439" w:type="dxa"/>
            <w:gridSpan w:val="8"/>
            <w:noWrap w:val="0"/>
            <w:vAlign w:val="center"/>
          </w:tcPr>
          <w:p>
            <w:pPr>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4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排放口编号或名称</w:t>
            </w:r>
          </w:p>
        </w:tc>
        <w:tc>
          <w:tcPr>
            <w:tcW w:w="1013"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排放口位置</w:t>
            </w:r>
          </w:p>
        </w:tc>
        <w:tc>
          <w:tcPr>
            <w:tcW w:w="1084"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排放方式</w:t>
            </w:r>
          </w:p>
        </w:tc>
        <w:tc>
          <w:tcPr>
            <w:tcW w:w="1074"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主要/特征污染物名称</w:t>
            </w:r>
          </w:p>
        </w:tc>
        <w:tc>
          <w:tcPr>
            <w:tcW w:w="930"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排放浓度</w:t>
            </w:r>
          </w:p>
        </w:tc>
        <w:tc>
          <w:tcPr>
            <w:tcW w:w="889"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排放总量</w:t>
            </w:r>
          </w:p>
        </w:tc>
        <w:tc>
          <w:tcPr>
            <w:tcW w:w="1140" w:type="dxa"/>
            <w:gridSpan w:val="3"/>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核定的排放</w:t>
            </w:r>
          </w:p>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总量</w:t>
            </w:r>
          </w:p>
        </w:tc>
        <w:tc>
          <w:tcPr>
            <w:tcW w:w="1418"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执行的污染物排放标准浓度限值</w:t>
            </w:r>
          </w:p>
        </w:tc>
        <w:tc>
          <w:tcPr>
            <w:tcW w:w="99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超标</w:t>
            </w:r>
          </w:p>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42" w:type="dxa"/>
            <w:noWrap w:val="0"/>
            <w:vAlign w:val="center"/>
          </w:tcPr>
          <w:p>
            <w:pPr>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rPr>
              <w:t>调节池</w:t>
            </w:r>
          </w:p>
        </w:tc>
        <w:tc>
          <w:tcPr>
            <w:tcW w:w="1013" w:type="dxa"/>
            <w:noWrap w:val="0"/>
            <w:vAlign w:val="center"/>
          </w:tcPr>
          <w:p>
            <w:pPr>
              <w:spacing w:line="0" w:lineRule="atLeast"/>
              <w:rPr>
                <w:rFonts w:hint="eastAsia" w:ascii="宋体" w:hAnsi="宋体" w:eastAsia="宋体" w:cs="宋体"/>
                <w:sz w:val="24"/>
                <w:szCs w:val="24"/>
                <w:lang w:val="en-US"/>
              </w:rPr>
            </w:pPr>
            <w:r>
              <w:rPr>
                <w:rFonts w:hint="eastAsia" w:ascii="宋体" w:hAnsi="宋体" w:eastAsia="宋体" w:cs="宋体"/>
                <w:sz w:val="24"/>
                <w:szCs w:val="24"/>
                <w:lang w:val="en-US" w:eastAsia="zh-CN"/>
              </w:rPr>
              <w:t xml:space="preserve"> </w:t>
            </w:r>
          </w:p>
        </w:tc>
        <w:tc>
          <w:tcPr>
            <w:tcW w:w="1084" w:type="dxa"/>
            <w:gridSpan w:val="2"/>
            <w:noWrap w:val="0"/>
            <w:vAlign w:val="center"/>
          </w:tcPr>
          <w:p>
            <w:pPr>
              <w:spacing w:line="0" w:lineRule="atLeast"/>
              <w:rPr>
                <w:rFonts w:hint="eastAsia" w:ascii="宋体" w:hAnsi="宋体" w:eastAsia="宋体" w:cs="宋体"/>
                <w:sz w:val="24"/>
                <w:szCs w:val="24"/>
                <w:lang w:eastAsia="zh-CN"/>
              </w:rPr>
            </w:pPr>
            <w:r>
              <w:rPr>
                <w:rStyle w:val="6"/>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渗滤液处理站将渗滤液处理达标后用于库区绿化灌溉及洒水降尘</w:t>
            </w:r>
          </w:p>
        </w:tc>
        <w:tc>
          <w:tcPr>
            <w:tcW w:w="1074" w:type="dxa"/>
            <w:gridSpan w:val="2"/>
            <w:noWrap w:val="0"/>
            <w:vAlign w:val="center"/>
          </w:tcPr>
          <w:p>
            <w:pPr>
              <w:spacing w:line="0" w:lineRule="atLeast"/>
              <w:rPr>
                <w:rFonts w:hint="eastAsia" w:ascii="宋体" w:hAnsi="宋体" w:eastAsia="宋体" w:cs="宋体"/>
                <w:sz w:val="24"/>
                <w:szCs w:val="24"/>
              </w:rPr>
            </w:pPr>
            <w:r>
              <w:rPr>
                <w:rStyle w:val="6"/>
                <w:rFonts w:hint="eastAsia" w:ascii="宋体" w:hAnsi="宋体" w:eastAsia="宋体" w:cs="宋体"/>
                <w:kern w:val="2"/>
                <w:sz w:val="24"/>
                <w:szCs w:val="24"/>
                <w:lang w:val="en-US" w:eastAsia="zh-CN" w:bidi="ar-SA"/>
              </w:rPr>
              <w:t>渗滤液</w:t>
            </w:r>
          </w:p>
        </w:tc>
        <w:tc>
          <w:tcPr>
            <w:tcW w:w="930" w:type="dxa"/>
            <w:noWrap w:val="0"/>
            <w:vAlign w:val="center"/>
          </w:tcPr>
          <w:p>
            <w:pPr>
              <w:spacing w:line="0" w:lineRule="atLeast"/>
              <w:rPr>
                <w:rFonts w:hint="eastAsia" w:ascii="宋体" w:hAnsi="宋体" w:eastAsia="宋体" w:cs="宋体"/>
                <w:sz w:val="24"/>
                <w:szCs w:val="24"/>
              </w:rPr>
            </w:pPr>
          </w:p>
        </w:tc>
        <w:tc>
          <w:tcPr>
            <w:tcW w:w="889" w:type="dxa"/>
            <w:gridSpan w:val="2"/>
            <w:noWrap w:val="0"/>
            <w:vAlign w:val="center"/>
          </w:tcPr>
          <w:p>
            <w:pPr>
              <w:spacing w:line="0" w:lineRule="atLeast"/>
              <w:rPr>
                <w:rFonts w:hint="eastAsia" w:ascii="宋体" w:hAnsi="宋体" w:eastAsia="宋体" w:cs="宋体"/>
                <w:sz w:val="24"/>
                <w:szCs w:val="24"/>
              </w:rPr>
            </w:pPr>
          </w:p>
        </w:tc>
        <w:tc>
          <w:tcPr>
            <w:tcW w:w="1140" w:type="dxa"/>
            <w:gridSpan w:val="3"/>
            <w:noWrap w:val="0"/>
            <w:vAlign w:val="center"/>
          </w:tcPr>
          <w:p>
            <w:pPr>
              <w:spacing w:line="0" w:lineRule="atLeast"/>
              <w:rPr>
                <w:rFonts w:hint="eastAsia" w:ascii="宋体" w:hAnsi="宋体" w:eastAsia="宋体" w:cs="宋体"/>
                <w:sz w:val="24"/>
                <w:szCs w:val="24"/>
              </w:rPr>
            </w:pPr>
          </w:p>
        </w:tc>
        <w:tc>
          <w:tcPr>
            <w:tcW w:w="1418" w:type="dxa"/>
            <w:gridSpan w:val="2"/>
            <w:noWrap w:val="0"/>
            <w:vAlign w:val="center"/>
          </w:tcPr>
          <w:p>
            <w:pPr>
              <w:spacing w:line="0" w:lineRule="atLeast"/>
              <w:rPr>
                <w:rFonts w:hint="eastAsia" w:ascii="宋体" w:hAnsi="宋体" w:eastAsia="宋体" w:cs="宋体"/>
                <w:sz w:val="24"/>
                <w:szCs w:val="24"/>
              </w:rPr>
            </w:pPr>
          </w:p>
        </w:tc>
        <w:tc>
          <w:tcPr>
            <w:tcW w:w="992"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9782" w:type="dxa"/>
            <w:gridSpan w:val="15"/>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343" w:type="dxa"/>
            <w:gridSpan w:val="7"/>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排放口数量</w:t>
            </w:r>
          </w:p>
        </w:tc>
        <w:tc>
          <w:tcPr>
            <w:tcW w:w="4439" w:type="dxa"/>
            <w:gridSpan w:val="8"/>
            <w:noWrap w:val="0"/>
            <w:vAlign w:val="top"/>
          </w:tcPr>
          <w:p>
            <w:pPr>
              <w:spacing w:line="0" w:lineRule="atLeas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4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排放口编号或名称</w:t>
            </w:r>
          </w:p>
        </w:tc>
        <w:tc>
          <w:tcPr>
            <w:tcW w:w="1013"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排放口位置</w:t>
            </w:r>
          </w:p>
        </w:tc>
        <w:tc>
          <w:tcPr>
            <w:tcW w:w="1084"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排放方式</w:t>
            </w:r>
          </w:p>
        </w:tc>
        <w:tc>
          <w:tcPr>
            <w:tcW w:w="1074"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主要/特征污染物名称</w:t>
            </w:r>
          </w:p>
        </w:tc>
        <w:tc>
          <w:tcPr>
            <w:tcW w:w="930"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排放浓度</w:t>
            </w:r>
          </w:p>
        </w:tc>
        <w:tc>
          <w:tcPr>
            <w:tcW w:w="889"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排放总量</w:t>
            </w:r>
          </w:p>
        </w:tc>
        <w:tc>
          <w:tcPr>
            <w:tcW w:w="1140" w:type="dxa"/>
            <w:gridSpan w:val="3"/>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核定的排放</w:t>
            </w:r>
          </w:p>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总量</w:t>
            </w:r>
          </w:p>
        </w:tc>
        <w:tc>
          <w:tcPr>
            <w:tcW w:w="1418"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执行的污染物排放标准浓度限值</w:t>
            </w:r>
          </w:p>
        </w:tc>
        <w:tc>
          <w:tcPr>
            <w:tcW w:w="99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超标</w:t>
            </w:r>
          </w:p>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242" w:type="dxa"/>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厂区</w:t>
            </w:r>
          </w:p>
        </w:tc>
        <w:tc>
          <w:tcPr>
            <w:tcW w:w="1013" w:type="dxa"/>
            <w:noWrap w:val="0"/>
            <w:vAlign w:val="center"/>
          </w:tcPr>
          <w:p>
            <w:pPr>
              <w:spacing w:line="0" w:lineRule="atLeast"/>
              <w:rPr>
                <w:rFonts w:hint="eastAsia" w:ascii="宋体" w:hAnsi="宋体" w:eastAsia="宋体" w:cs="宋体"/>
                <w:sz w:val="24"/>
                <w:szCs w:val="24"/>
              </w:rPr>
            </w:pPr>
          </w:p>
        </w:tc>
        <w:tc>
          <w:tcPr>
            <w:tcW w:w="1084" w:type="dxa"/>
            <w:gridSpan w:val="2"/>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无组织排放</w:t>
            </w:r>
          </w:p>
        </w:tc>
        <w:tc>
          <w:tcPr>
            <w:tcW w:w="1074" w:type="dxa"/>
            <w:gridSpan w:val="2"/>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恶臭气体</w:t>
            </w:r>
          </w:p>
        </w:tc>
        <w:tc>
          <w:tcPr>
            <w:tcW w:w="930" w:type="dxa"/>
            <w:noWrap w:val="0"/>
            <w:vAlign w:val="center"/>
          </w:tcPr>
          <w:p>
            <w:pPr>
              <w:spacing w:line="0" w:lineRule="atLeast"/>
              <w:rPr>
                <w:rFonts w:hint="eastAsia" w:ascii="宋体" w:hAnsi="宋体" w:eastAsia="宋体" w:cs="宋体"/>
                <w:sz w:val="24"/>
                <w:szCs w:val="24"/>
              </w:rPr>
            </w:pPr>
          </w:p>
        </w:tc>
        <w:tc>
          <w:tcPr>
            <w:tcW w:w="889" w:type="dxa"/>
            <w:gridSpan w:val="2"/>
            <w:noWrap w:val="0"/>
            <w:vAlign w:val="center"/>
          </w:tcPr>
          <w:p>
            <w:pPr>
              <w:spacing w:line="0" w:lineRule="atLeast"/>
              <w:rPr>
                <w:rFonts w:hint="eastAsia" w:ascii="宋体" w:hAnsi="宋体" w:eastAsia="宋体" w:cs="宋体"/>
                <w:sz w:val="24"/>
                <w:szCs w:val="24"/>
              </w:rPr>
            </w:pPr>
          </w:p>
        </w:tc>
        <w:tc>
          <w:tcPr>
            <w:tcW w:w="1140" w:type="dxa"/>
            <w:gridSpan w:val="3"/>
            <w:noWrap w:val="0"/>
            <w:vAlign w:val="center"/>
          </w:tcPr>
          <w:p>
            <w:pPr>
              <w:spacing w:line="0" w:lineRule="atLeast"/>
              <w:rPr>
                <w:rFonts w:hint="eastAsia" w:ascii="宋体" w:hAnsi="宋体" w:eastAsia="宋体" w:cs="宋体"/>
                <w:sz w:val="24"/>
                <w:szCs w:val="24"/>
              </w:rPr>
            </w:pPr>
          </w:p>
        </w:tc>
        <w:tc>
          <w:tcPr>
            <w:tcW w:w="1418" w:type="dxa"/>
            <w:gridSpan w:val="2"/>
            <w:noWrap w:val="0"/>
            <w:vAlign w:val="center"/>
          </w:tcPr>
          <w:p>
            <w:pPr>
              <w:spacing w:line="0" w:lineRule="atLeast"/>
              <w:rPr>
                <w:rFonts w:hint="eastAsia" w:ascii="宋体" w:hAnsi="宋体" w:eastAsia="宋体" w:cs="宋体"/>
                <w:sz w:val="24"/>
                <w:szCs w:val="24"/>
              </w:rPr>
            </w:pPr>
          </w:p>
        </w:tc>
        <w:tc>
          <w:tcPr>
            <w:tcW w:w="992" w:type="dxa"/>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782" w:type="dxa"/>
            <w:gridSpan w:val="15"/>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71" w:type="dxa"/>
            <w:gridSpan w:val="3"/>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废物名称</w:t>
            </w:r>
          </w:p>
        </w:tc>
        <w:tc>
          <w:tcPr>
            <w:tcW w:w="2042" w:type="dxa"/>
            <w:gridSpan w:val="3"/>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是否危险废物</w:t>
            </w:r>
          </w:p>
        </w:tc>
        <w:tc>
          <w:tcPr>
            <w:tcW w:w="2755" w:type="dxa"/>
            <w:gridSpan w:val="5"/>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处理处置方式</w:t>
            </w:r>
          </w:p>
        </w:tc>
        <w:tc>
          <w:tcPr>
            <w:tcW w:w="2614" w:type="dxa"/>
            <w:gridSpan w:val="4"/>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处理处置数量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71" w:type="dxa"/>
            <w:gridSpan w:val="3"/>
            <w:noWrap w:val="0"/>
            <w:vAlign w:val="center"/>
          </w:tcPr>
          <w:p>
            <w:pPr>
              <w:spacing w:line="0" w:lineRule="atLeast"/>
              <w:rPr>
                <w:rFonts w:hint="eastAsia" w:ascii="宋体" w:hAnsi="宋体" w:eastAsia="宋体" w:cs="宋体"/>
                <w:sz w:val="24"/>
                <w:szCs w:val="24"/>
              </w:rPr>
            </w:pPr>
          </w:p>
        </w:tc>
        <w:tc>
          <w:tcPr>
            <w:tcW w:w="2042" w:type="dxa"/>
            <w:gridSpan w:val="3"/>
            <w:noWrap w:val="0"/>
            <w:vAlign w:val="center"/>
          </w:tcPr>
          <w:p>
            <w:pPr>
              <w:spacing w:line="0" w:lineRule="atLeast"/>
              <w:rPr>
                <w:rFonts w:hint="eastAsia" w:ascii="宋体" w:hAnsi="宋体" w:eastAsia="宋体" w:cs="宋体"/>
                <w:sz w:val="24"/>
                <w:szCs w:val="24"/>
                <w:lang w:eastAsia="zh-CN"/>
              </w:rPr>
            </w:pPr>
          </w:p>
        </w:tc>
        <w:tc>
          <w:tcPr>
            <w:tcW w:w="2755" w:type="dxa"/>
            <w:gridSpan w:val="5"/>
            <w:noWrap w:val="0"/>
            <w:vAlign w:val="center"/>
          </w:tcPr>
          <w:p>
            <w:pPr>
              <w:spacing w:line="0" w:lineRule="atLeast"/>
              <w:rPr>
                <w:rFonts w:hint="eastAsia" w:ascii="宋体" w:hAnsi="宋体" w:eastAsia="宋体" w:cs="宋体"/>
                <w:sz w:val="24"/>
                <w:szCs w:val="24"/>
              </w:rPr>
            </w:pPr>
          </w:p>
        </w:tc>
        <w:tc>
          <w:tcPr>
            <w:tcW w:w="2614" w:type="dxa"/>
            <w:gridSpan w:val="4"/>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782" w:type="dxa"/>
            <w:gridSpan w:val="15"/>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71" w:type="dxa"/>
            <w:gridSpan w:val="3"/>
            <w:vMerge w:val="restart"/>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厂界位置</w:t>
            </w:r>
          </w:p>
        </w:tc>
        <w:tc>
          <w:tcPr>
            <w:tcW w:w="3158" w:type="dxa"/>
            <w:gridSpan w:val="5"/>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噪声值</w:t>
            </w:r>
          </w:p>
        </w:tc>
        <w:tc>
          <w:tcPr>
            <w:tcW w:w="2602" w:type="dxa"/>
            <w:gridSpan w:val="5"/>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执行的厂界噪声排放标准限值</w:t>
            </w:r>
          </w:p>
        </w:tc>
        <w:tc>
          <w:tcPr>
            <w:tcW w:w="1651" w:type="dxa"/>
            <w:gridSpan w:val="2"/>
            <w:vMerge w:val="restart"/>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71" w:type="dxa"/>
            <w:gridSpan w:val="3"/>
            <w:vMerge w:val="continue"/>
            <w:noWrap w:val="0"/>
            <w:vAlign w:val="center"/>
          </w:tcPr>
          <w:p>
            <w:pPr>
              <w:spacing w:line="0" w:lineRule="atLeast"/>
              <w:jc w:val="center"/>
              <w:rPr>
                <w:rFonts w:hint="eastAsia" w:ascii="宋体" w:hAnsi="宋体" w:eastAsia="宋体" w:cs="宋体"/>
                <w:sz w:val="24"/>
                <w:szCs w:val="24"/>
              </w:rPr>
            </w:pPr>
          </w:p>
        </w:tc>
        <w:tc>
          <w:tcPr>
            <w:tcW w:w="1755"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昼间</w:t>
            </w:r>
          </w:p>
        </w:tc>
        <w:tc>
          <w:tcPr>
            <w:tcW w:w="1403" w:type="dxa"/>
            <w:gridSpan w:val="3"/>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夜间</w:t>
            </w:r>
          </w:p>
        </w:tc>
        <w:tc>
          <w:tcPr>
            <w:tcW w:w="1320" w:type="dxa"/>
            <w:gridSpan w:val="2"/>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昼间</w:t>
            </w:r>
          </w:p>
        </w:tc>
        <w:tc>
          <w:tcPr>
            <w:tcW w:w="1282" w:type="dxa"/>
            <w:gridSpan w:val="3"/>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夜间</w:t>
            </w:r>
          </w:p>
        </w:tc>
        <w:tc>
          <w:tcPr>
            <w:tcW w:w="1651" w:type="dxa"/>
            <w:gridSpan w:val="2"/>
            <w:vMerge w:val="continue"/>
            <w:noWrap w:val="0"/>
            <w:vAlign w:val="center"/>
          </w:tcPr>
          <w:p>
            <w:pPr>
              <w:spacing w:line="0" w:lineRule="atLeas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71" w:type="dxa"/>
            <w:gridSpan w:val="3"/>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厂界</w:t>
            </w:r>
          </w:p>
        </w:tc>
        <w:tc>
          <w:tcPr>
            <w:tcW w:w="1755" w:type="dxa"/>
            <w:gridSpan w:val="2"/>
            <w:noWrap w:val="0"/>
            <w:vAlign w:val="center"/>
          </w:tcPr>
          <w:p>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06至22</w:t>
            </w:r>
          </w:p>
        </w:tc>
        <w:tc>
          <w:tcPr>
            <w:tcW w:w="1403" w:type="dxa"/>
            <w:gridSpan w:val="3"/>
            <w:noWrap w:val="0"/>
            <w:vAlign w:val="center"/>
          </w:tcPr>
          <w:p>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22至06</w:t>
            </w:r>
          </w:p>
        </w:tc>
        <w:tc>
          <w:tcPr>
            <w:tcW w:w="1320" w:type="dxa"/>
            <w:gridSpan w:val="2"/>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1282" w:type="dxa"/>
            <w:gridSpan w:val="3"/>
            <w:noWrap w:val="0"/>
            <w:vAlign w:val="center"/>
          </w:tcPr>
          <w:p>
            <w:pPr>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651" w:type="dxa"/>
            <w:gridSpan w:val="2"/>
            <w:noWrap w:val="0"/>
            <w:vAlign w:val="center"/>
          </w:tcPr>
          <w:p>
            <w:pPr>
              <w:spacing w:line="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71" w:type="dxa"/>
            <w:gridSpan w:val="3"/>
            <w:noWrap w:val="0"/>
            <w:vAlign w:val="center"/>
          </w:tcPr>
          <w:p>
            <w:pPr>
              <w:spacing w:line="0" w:lineRule="atLeast"/>
              <w:rPr>
                <w:rFonts w:hint="eastAsia" w:ascii="宋体" w:hAnsi="宋体" w:eastAsia="宋体" w:cs="宋体"/>
                <w:sz w:val="24"/>
                <w:szCs w:val="24"/>
              </w:rPr>
            </w:pPr>
          </w:p>
        </w:tc>
        <w:tc>
          <w:tcPr>
            <w:tcW w:w="1755" w:type="dxa"/>
            <w:gridSpan w:val="2"/>
            <w:noWrap w:val="0"/>
            <w:vAlign w:val="center"/>
          </w:tcPr>
          <w:p>
            <w:pPr>
              <w:spacing w:line="0" w:lineRule="atLeast"/>
              <w:rPr>
                <w:rFonts w:hint="eastAsia" w:ascii="宋体" w:hAnsi="宋体" w:eastAsia="宋体" w:cs="宋体"/>
                <w:sz w:val="24"/>
                <w:szCs w:val="24"/>
              </w:rPr>
            </w:pPr>
          </w:p>
        </w:tc>
        <w:tc>
          <w:tcPr>
            <w:tcW w:w="1403" w:type="dxa"/>
            <w:gridSpan w:val="3"/>
            <w:noWrap w:val="0"/>
            <w:vAlign w:val="center"/>
          </w:tcPr>
          <w:p>
            <w:pPr>
              <w:spacing w:line="0" w:lineRule="atLeast"/>
              <w:rPr>
                <w:rFonts w:hint="eastAsia" w:ascii="宋体" w:hAnsi="宋体" w:eastAsia="宋体" w:cs="宋体"/>
                <w:sz w:val="24"/>
                <w:szCs w:val="24"/>
              </w:rPr>
            </w:pPr>
          </w:p>
        </w:tc>
        <w:tc>
          <w:tcPr>
            <w:tcW w:w="1320" w:type="dxa"/>
            <w:gridSpan w:val="2"/>
            <w:noWrap w:val="0"/>
            <w:vAlign w:val="center"/>
          </w:tcPr>
          <w:p>
            <w:pPr>
              <w:spacing w:line="0" w:lineRule="atLeast"/>
              <w:rPr>
                <w:rFonts w:hint="eastAsia" w:ascii="宋体" w:hAnsi="宋体" w:eastAsia="宋体" w:cs="宋体"/>
                <w:kern w:val="2"/>
                <w:sz w:val="24"/>
                <w:szCs w:val="24"/>
                <w:lang w:val="en-US" w:eastAsia="zh-CN" w:bidi="ar-SA"/>
              </w:rPr>
            </w:pPr>
          </w:p>
        </w:tc>
        <w:tc>
          <w:tcPr>
            <w:tcW w:w="1282" w:type="dxa"/>
            <w:gridSpan w:val="3"/>
            <w:noWrap w:val="0"/>
            <w:vAlign w:val="center"/>
          </w:tcPr>
          <w:p>
            <w:pPr>
              <w:spacing w:line="0" w:lineRule="atLeast"/>
              <w:rPr>
                <w:rFonts w:hint="eastAsia" w:ascii="宋体" w:hAnsi="宋体" w:eastAsia="宋体" w:cs="宋体"/>
                <w:kern w:val="2"/>
                <w:sz w:val="24"/>
                <w:szCs w:val="24"/>
                <w:lang w:val="en-US" w:eastAsia="zh-CN" w:bidi="ar-SA"/>
              </w:rPr>
            </w:pPr>
          </w:p>
        </w:tc>
        <w:tc>
          <w:tcPr>
            <w:tcW w:w="1651" w:type="dxa"/>
            <w:gridSpan w:val="2"/>
            <w:noWrap w:val="0"/>
            <w:vAlign w:val="center"/>
          </w:tcPr>
          <w:p>
            <w:pPr>
              <w:spacing w:line="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82" w:type="dxa"/>
            <w:gridSpan w:val="15"/>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其他污染类型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9782" w:type="dxa"/>
            <w:gridSpan w:val="15"/>
            <w:noWrap w:val="0"/>
            <w:vAlign w:val="center"/>
          </w:tcPr>
          <w:p>
            <w:pPr>
              <w:spacing w:line="0" w:lineRule="atLeast"/>
              <w:rPr>
                <w:rFonts w:hint="eastAsia" w:ascii="宋体" w:hAnsi="宋体" w:eastAsia="宋体" w:cs="宋体"/>
                <w:sz w:val="24"/>
                <w:szCs w:val="24"/>
              </w:rPr>
            </w:pPr>
          </w:p>
        </w:tc>
      </w:tr>
    </w:tbl>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r>
        <w:rPr>
          <w:rFonts w:hint="eastAsia" w:ascii="宋体" w:hAnsi="宋体" w:eastAsia="宋体" w:cs="宋体"/>
          <w:sz w:val="24"/>
          <w:szCs w:val="24"/>
        </w:rPr>
        <w:t>三、防治污染设施的建设和运行情况</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792"/>
        <w:gridCol w:w="1418"/>
        <w:gridCol w:w="1701"/>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03"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设施类别</w:t>
            </w:r>
          </w:p>
        </w:tc>
        <w:tc>
          <w:tcPr>
            <w:tcW w:w="279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防治污染设施名称</w:t>
            </w:r>
          </w:p>
        </w:tc>
        <w:tc>
          <w:tcPr>
            <w:tcW w:w="1418"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投运时间</w:t>
            </w:r>
          </w:p>
        </w:tc>
        <w:tc>
          <w:tcPr>
            <w:tcW w:w="1701"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处理能力</w:t>
            </w:r>
          </w:p>
        </w:tc>
        <w:tc>
          <w:tcPr>
            <w:tcW w:w="2267"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03" w:type="dxa"/>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水污染物</w:t>
            </w:r>
          </w:p>
        </w:tc>
        <w:tc>
          <w:tcPr>
            <w:tcW w:w="2792" w:type="dxa"/>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rPr>
              <w:t>渗滤液处理站</w:t>
            </w:r>
          </w:p>
        </w:tc>
        <w:tc>
          <w:tcPr>
            <w:tcW w:w="1418" w:type="dxa"/>
            <w:noWrap w:val="0"/>
            <w:vAlign w:val="center"/>
          </w:tcPr>
          <w:p>
            <w:pPr>
              <w:spacing w:line="0" w:lineRule="atLeast"/>
              <w:rPr>
                <w:rFonts w:hint="eastAsia" w:ascii="宋体" w:hAnsi="宋体" w:eastAsia="宋体" w:cs="宋体"/>
                <w:sz w:val="24"/>
                <w:szCs w:val="24"/>
                <w:lang w:eastAsia="zh-CN"/>
              </w:rPr>
            </w:pPr>
          </w:p>
        </w:tc>
        <w:tc>
          <w:tcPr>
            <w:tcW w:w="1701" w:type="dxa"/>
            <w:noWrap w:val="0"/>
            <w:vAlign w:val="center"/>
          </w:tcPr>
          <w:p>
            <w:pPr>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rPr>
              <w:t>渗滤液处理站将渗滤液处理达标后用于库区绿化灌溉及洒水降尘</w:t>
            </w:r>
          </w:p>
        </w:tc>
        <w:tc>
          <w:tcPr>
            <w:tcW w:w="2267" w:type="dxa"/>
            <w:noWrap w:val="0"/>
            <w:vAlign w:val="center"/>
          </w:tcPr>
          <w:p>
            <w:pPr>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03" w:type="dxa"/>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固体废物</w:t>
            </w:r>
          </w:p>
        </w:tc>
        <w:tc>
          <w:tcPr>
            <w:tcW w:w="2792" w:type="dxa"/>
            <w:noWrap w:val="0"/>
            <w:vAlign w:val="center"/>
          </w:tcPr>
          <w:p>
            <w:pPr>
              <w:spacing w:line="0" w:lineRule="atLeast"/>
              <w:rPr>
                <w:rFonts w:hint="eastAsia" w:ascii="宋体" w:hAnsi="宋体" w:eastAsia="宋体" w:cs="宋体"/>
                <w:sz w:val="24"/>
                <w:szCs w:val="24"/>
                <w:lang w:eastAsia="zh-CN"/>
              </w:rPr>
            </w:pPr>
          </w:p>
        </w:tc>
        <w:tc>
          <w:tcPr>
            <w:tcW w:w="1418" w:type="dxa"/>
            <w:noWrap w:val="0"/>
            <w:vAlign w:val="center"/>
          </w:tcPr>
          <w:p>
            <w:pPr>
              <w:spacing w:line="0" w:lineRule="atLeast"/>
              <w:rPr>
                <w:rFonts w:hint="eastAsia" w:ascii="宋体" w:hAnsi="宋体" w:eastAsia="宋体" w:cs="宋体"/>
                <w:sz w:val="24"/>
                <w:szCs w:val="24"/>
                <w:lang w:eastAsia="zh-CN"/>
              </w:rPr>
            </w:pPr>
          </w:p>
        </w:tc>
        <w:tc>
          <w:tcPr>
            <w:tcW w:w="1701" w:type="dxa"/>
            <w:noWrap w:val="0"/>
            <w:vAlign w:val="center"/>
          </w:tcPr>
          <w:p>
            <w:pPr>
              <w:spacing w:line="0" w:lineRule="atLeast"/>
              <w:rPr>
                <w:rFonts w:hint="eastAsia" w:ascii="宋体" w:hAnsi="宋体" w:eastAsia="宋体" w:cs="宋体"/>
                <w:sz w:val="24"/>
                <w:szCs w:val="24"/>
                <w:lang w:eastAsia="zh-CN"/>
              </w:rPr>
            </w:pPr>
          </w:p>
        </w:tc>
        <w:tc>
          <w:tcPr>
            <w:tcW w:w="2267" w:type="dxa"/>
            <w:noWrap w:val="0"/>
            <w:vAlign w:val="center"/>
          </w:tcPr>
          <w:p>
            <w:pPr>
              <w:spacing w:line="0" w:lineRule="atLeast"/>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03" w:type="dxa"/>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大气污染物</w:t>
            </w:r>
          </w:p>
        </w:tc>
        <w:tc>
          <w:tcPr>
            <w:tcW w:w="2792" w:type="dxa"/>
            <w:noWrap w:val="0"/>
            <w:vAlign w:val="center"/>
          </w:tcPr>
          <w:p>
            <w:pPr>
              <w:pStyle w:val="10"/>
              <w:widowControl w:val="0"/>
              <w:jc w:val="center"/>
              <w:rPr>
                <w:rFonts w:hint="eastAsia" w:ascii="宋体" w:hAnsi="宋体" w:eastAsia="宋体" w:cs="宋体"/>
                <w:kern w:val="2"/>
                <w:sz w:val="24"/>
                <w:szCs w:val="24"/>
                <w:lang w:val="en-US" w:eastAsia="zh-CN" w:bidi="ar-SA"/>
              </w:rPr>
            </w:pPr>
            <w:r>
              <w:rPr>
                <w:rStyle w:val="6"/>
                <w:rFonts w:hint="eastAsia" w:ascii="宋体" w:hAnsi="宋体" w:eastAsia="宋体" w:cs="宋体"/>
                <w:kern w:val="2"/>
                <w:sz w:val="24"/>
                <w:szCs w:val="24"/>
                <w:lang w:val="en-US" w:eastAsia="zh-CN" w:bidi="ar-SA"/>
              </w:rPr>
              <w:t xml:space="preserve"> </w:t>
            </w:r>
          </w:p>
        </w:tc>
        <w:tc>
          <w:tcPr>
            <w:tcW w:w="1418" w:type="dxa"/>
            <w:noWrap w:val="0"/>
            <w:vAlign w:val="center"/>
          </w:tcPr>
          <w:p>
            <w:pPr>
              <w:spacing w:line="0" w:lineRule="atLeast"/>
              <w:rPr>
                <w:rFonts w:hint="eastAsia" w:ascii="宋体" w:hAnsi="宋体" w:eastAsia="宋体" w:cs="宋体"/>
                <w:kern w:val="2"/>
                <w:sz w:val="24"/>
                <w:szCs w:val="24"/>
                <w:lang w:val="en-US" w:eastAsia="zh-CN" w:bidi="ar-SA"/>
              </w:rPr>
            </w:pPr>
          </w:p>
        </w:tc>
        <w:tc>
          <w:tcPr>
            <w:tcW w:w="1701" w:type="dxa"/>
            <w:noWrap w:val="0"/>
            <w:vAlign w:val="center"/>
          </w:tcPr>
          <w:p>
            <w:pPr>
              <w:spacing w:line="0" w:lineRule="atLeast"/>
              <w:rPr>
                <w:rFonts w:hint="eastAsia" w:ascii="宋体" w:hAnsi="宋体" w:eastAsia="宋体" w:cs="宋体"/>
                <w:kern w:val="2"/>
                <w:sz w:val="24"/>
                <w:szCs w:val="24"/>
                <w:lang w:val="en-US" w:eastAsia="zh-CN" w:bidi="ar-SA"/>
              </w:rPr>
            </w:pPr>
          </w:p>
        </w:tc>
        <w:tc>
          <w:tcPr>
            <w:tcW w:w="2267" w:type="dxa"/>
            <w:noWrap w:val="0"/>
            <w:vAlign w:val="center"/>
          </w:tcPr>
          <w:p>
            <w:pPr>
              <w:spacing w:line="0" w:lineRule="atLeas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03" w:type="dxa"/>
            <w:noWrap w:val="0"/>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噪声</w:t>
            </w:r>
          </w:p>
        </w:tc>
        <w:tc>
          <w:tcPr>
            <w:tcW w:w="2792" w:type="dxa"/>
            <w:noWrap w:val="0"/>
            <w:vAlign w:val="center"/>
          </w:tcPr>
          <w:p>
            <w:pPr>
              <w:spacing w:line="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w:t>
            </w:r>
          </w:p>
        </w:tc>
        <w:tc>
          <w:tcPr>
            <w:tcW w:w="1418" w:type="dxa"/>
            <w:noWrap w:val="0"/>
            <w:vAlign w:val="center"/>
          </w:tcPr>
          <w:p>
            <w:pPr>
              <w:spacing w:line="0" w:lineRule="atLeast"/>
              <w:rPr>
                <w:rFonts w:hint="eastAsia" w:ascii="宋体" w:hAnsi="宋体" w:eastAsia="宋体" w:cs="宋体"/>
                <w:kern w:val="2"/>
                <w:sz w:val="24"/>
                <w:szCs w:val="24"/>
                <w:lang w:val="en-US" w:eastAsia="zh-CN" w:bidi="ar-SA"/>
              </w:rPr>
            </w:pPr>
          </w:p>
        </w:tc>
        <w:tc>
          <w:tcPr>
            <w:tcW w:w="1701" w:type="dxa"/>
            <w:noWrap w:val="0"/>
            <w:vAlign w:val="center"/>
          </w:tcPr>
          <w:p>
            <w:pPr>
              <w:spacing w:line="0" w:lineRule="atLeast"/>
              <w:rPr>
                <w:rFonts w:hint="eastAsia" w:ascii="宋体" w:hAnsi="宋体" w:eastAsia="宋体" w:cs="宋体"/>
                <w:kern w:val="2"/>
                <w:sz w:val="24"/>
                <w:szCs w:val="24"/>
                <w:lang w:val="en-US" w:eastAsia="zh-CN" w:bidi="ar-SA"/>
              </w:rPr>
            </w:pPr>
          </w:p>
        </w:tc>
        <w:tc>
          <w:tcPr>
            <w:tcW w:w="2267" w:type="dxa"/>
            <w:noWrap w:val="0"/>
            <w:vAlign w:val="center"/>
          </w:tcPr>
          <w:p>
            <w:pPr>
              <w:spacing w:line="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0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其他</w:t>
            </w:r>
          </w:p>
        </w:tc>
        <w:tc>
          <w:tcPr>
            <w:tcW w:w="2792" w:type="dxa"/>
            <w:noWrap w:val="0"/>
            <w:vAlign w:val="center"/>
          </w:tcPr>
          <w:p>
            <w:pPr>
              <w:spacing w:line="0" w:lineRule="atLeast"/>
              <w:rPr>
                <w:rFonts w:hint="eastAsia" w:ascii="宋体" w:hAnsi="宋体" w:eastAsia="宋体" w:cs="宋体"/>
                <w:sz w:val="24"/>
                <w:szCs w:val="24"/>
              </w:rPr>
            </w:pPr>
          </w:p>
        </w:tc>
        <w:tc>
          <w:tcPr>
            <w:tcW w:w="1418" w:type="dxa"/>
            <w:noWrap w:val="0"/>
            <w:vAlign w:val="center"/>
          </w:tcPr>
          <w:p>
            <w:pPr>
              <w:spacing w:line="0" w:lineRule="atLeast"/>
              <w:rPr>
                <w:rFonts w:hint="eastAsia" w:ascii="宋体" w:hAnsi="宋体" w:eastAsia="宋体" w:cs="宋体"/>
                <w:sz w:val="24"/>
                <w:szCs w:val="24"/>
              </w:rPr>
            </w:pPr>
          </w:p>
        </w:tc>
        <w:tc>
          <w:tcPr>
            <w:tcW w:w="1701" w:type="dxa"/>
            <w:noWrap w:val="0"/>
            <w:vAlign w:val="center"/>
          </w:tcPr>
          <w:p>
            <w:pPr>
              <w:spacing w:line="0" w:lineRule="atLeast"/>
              <w:rPr>
                <w:rFonts w:hint="eastAsia" w:ascii="宋体" w:hAnsi="宋体" w:eastAsia="宋体" w:cs="宋体"/>
                <w:sz w:val="24"/>
                <w:szCs w:val="24"/>
              </w:rPr>
            </w:pPr>
          </w:p>
        </w:tc>
        <w:tc>
          <w:tcPr>
            <w:tcW w:w="2267" w:type="dxa"/>
            <w:noWrap w:val="0"/>
            <w:vAlign w:val="center"/>
          </w:tcPr>
          <w:p>
            <w:pPr>
              <w:spacing w:line="0" w:lineRule="atLeast"/>
              <w:rPr>
                <w:rFonts w:hint="eastAsia" w:ascii="宋体" w:hAnsi="宋体" w:eastAsia="宋体" w:cs="宋体"/>
                <w:sz w:val="24"/>
                <w:szCs w:val="24"/>
              </w:rPr>
            </w:pPr>
          </w:p>
        </w:tc>
      </w:tr>
    </w:tbl>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r>
        <w:rPr>
          <w:rFonts w:hint="eastAsia" w:ascii="宋体" w:hAnsi="宋体" w:eastAsia="宋体" w:cs="宋体"/>
          <w:sz w:val="24"/>
          <w:szCs w:val="24"/>
        </w:rPr>
        <w:t>四、建设项目环境影响评价及其他环境保护行政许可情况</w:t>
      </w:r>
    </w:p>
    <w:tbl>
      <w:tblPr>
        <w:tblStyle w:val="4"/>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6"/>
        <w:gridCol w:w="899"/>
        <w:gridCol w:w="944"/>
        <w:gridCol w:w="1275"/>
        <w:gridCol w:w="1040"/>
        <w:gridCol w:w="94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0" w:type="dxa"/>
            <w:gridSpan w:val="7"/>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6"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建设项目名称</w:t>
            </w:r>
          </w:p>
        </w:tc>
        <w:tc>
          <w:tcPr>
            <w:tcW w:w="899"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环评批复单位</w:t>
            </w:r>
          </w:p>
        </w:tc>
        <w:tc>
          <w:tcPr>
            <w:tcW w:w="944"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环评批复时间</w:t>
            </w:r>
          </w:p>
        </w:tc>
        <w:tc>
          <w:tcPr>
            <w:tcW w:w="1275"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环评批复文号</w:t>
            </w:r>
          </w:p>
        </w:tc>
        <w:tc>
          <w:tcPr>
            <w:tcW w:w="1040"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竣工验收单位</w:t>
            </w:r>
          </w:p>
        </w:tc>
        <w:tc>
          <w:tcPr>
            <w:tcW w:w="945"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竣工验收时间</w:t>
            </w:r>
          </w:p>
        </w:tc>
        <w:tc>
          <w:tcPr>
            <w:tcW w:w="1301"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6"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lang w:eastAsia="zh-CN"/>
              </w:rPr>
              <w:t>洛</w:t>
            </w:r>
            <w:r>
              <w:rPr>
                <w:rFonts w:hint="eastAsia" w:ascii="宋体" w:hAnsi="宋体" w:eastAsia="宋体" w:cs="宋体"/>
                <w:sz w:val="24"/>
                <w:szCs w:val="24"/>
              </w:rPr>
              <w:t>南县城市生活垃圾卫生填埋场建设项目</w:t>
            </w:r>
          </w:p>
        </w:tc>
        <w:tc>
          <w:tcPr>
            <w:tcW w:w="899" w:type="dxa"/>
            <w:noWrap w:val="0"/>
            <w:vAlign w:val="center"/>
          </w:tcPr>
          <w:p>
            <w:pPr>
              <w:spacing w:line="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商洛市环境保护局</w:t>
            </w:r>
          </w:p>
        </w:tc>
        <w:tc>
          <w:tcPr>
            <w:tcW w:w="944" w:type="dxa"/>
            <w:noWrap w:val="0"/>
            <w:vAlign w:val="center"/>
          </w:tcPr>
          <w:p>
            <w:pPr>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2011年</w:t>
            </w:r>
          </w:p>
        </w:tc>
        <w:tc>
          <w:tcPr>
            <w:tcW w:w="1275"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商政环发【2011】13号</w:t>
            </w:r>
          </w:p>
        </w:tc>
        <w:tc>
          <w:tcPr>
            <w:tcW w:w="1040"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商洛市环境保护局</w:t>
            </w:r>
          </w:p>
        </w:tc>
        <w:tc>
          <w:tcPr>
            <w:tcW w:w="945" w:type="dxa"/>
            <w:noWrap w:val="0"/>
            <w:vAlign w:val="center"/>
          </w:tcPr>
          <w:p>
            <w:pPr>
              <w:spacing w:line="0" w:lineRule="atLeast"/>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2015年</w:t>
            </w:r>
          </w:p>
        </w:tc>
        <w:tc>
          <w:tcPr>
            <w:tcW w:w="1301" w:type="dxa"/>
            <w:noWrap w:val="0"/>
            <w:vAlign w:val="center"/>
          </w:tcPr>
          <w:p>
            <w:pPr>
              <w:spacing w:line="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商政环函【2015】285号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6"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其他环境保护行政许可情况</w:t>
            </w:r>
          </w:p>
        </w:tc>
        <w:tc>
          <w:tcPr>
            <w:tcW w:w="6404" w:type="dxa"/>
            <w:gridSpan w:val="6"/>
            <w:noWrap w:val="0"/>
            <w:vAlign w:val="center"/>
          </w:tcPr>
          <w:p>
            <w:pPr>
              <w:spacing w:line="0" w:lineRule="atLeast"/>
              <w:rPr>
                <w:rFonts w:hint="eastAsia" w:ascii="宋体" w:hAnsi="宋体" w:eastAsia="宋体" w:cs="宋体"/>
                <w:sz w:val="24"/>
                <w:szCs w:val="24"/>
              </w:rPr>
            </w:pPr>
          </w:p>
        </w:tc>
      </w:tr>
    </w:tbl>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r>
        <w:rPr>
          <w:rFonts w:hint="eastAsia" w:ascii="宋体" w:hAnsi="宋体" w:eastAsia="宋体" w:cs="宋体"/>
          <w:sz w:val="24"/>
          <w:szCs w:val="24"/>
        </w:rPr>
        <w:t>五、突发环境事件应急预案</w:t>
      </w:r>
    </w:p>
    <w:tbl>
      <w:tblPr>
        <w:tblStyle w:val="4"/>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370"/>
        <w:gridCol w:w="2449"/>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0" w:type="dxa"/>
            <w:gridSpan w:val="4"/>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72"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备案部门</w:t>
            </w:r>
          </w:p>
        </w:tc>
        <w:tc>
          <w:tcPr>
            <w:tcW w:w="2370" w:type="dxa"/>
            <w:noWrap w:val="0"/>
            <w:vAlign w:val="center"/>
          </w:tcPr>
          <w:p>
            <w:pPr>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商洛市生态环境局洛南县分局</w:t>
            </w:r>
          </w:p>
        </w:tc>
        <w:tc>
          <w:tcPr>
            <w:tcW w:w="2449" w:type="dxa"/>
            <w:noWrap w:val="0"/>
            <w:vAlign w:val="center"/>
          </w:tcPr>
          <w:p>
            <w:pPr>
              <w:spacing w:line="0" w:lineRule="atLeast"/>
              <w:jc w:val="center"/>
              <w:rPr>
                <w:rFonts w:hint="eastAsia" w:ascii="宋体" w:hAnsi="宋体" w:eastAsia="宋体" w:cs="宋体"/>
                <w:sz w:val="24"/>
                <w:szCs w:val="24"/>
              </w:rPr>
            </w:pPr>
            <w:r>
              <w:rPr>
                <w:rFonts w:hint="eastAsia" w:ascii="宋体" w:hAnsi="宋体" w:eastAsia="宋体" w:cs="宋体"/>
                <w:sz w:val="24"/>
                <w:szCs w:val="24"/>
              </w:rPr>
              <w:t>备案时间</w:t>
            </w:r>
          </w:p>
        </w:tc>
        <w:tc>
          <w:tcPr>
            <w:tcW w:w="2809" w:type="dxa"/>
            <w:noWrap w:val="0"/>
            <w:vAlign w:val="center"/>
          </w:tcPr>
          <w:p>
            <w:pPr>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2"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主要内容</w:t>
            </w:r>
          </w:p>
        </w:tc>
        <w:tc>
          <w:tcPr>
            <w:tcW w:w="7628" w:type="dxa"/>
            <w:gridSpan w:val="3"/>
            <w:noWrap w:val="0"/>
            <w:vAlign w:val="center"/>
          </w:tcPr>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1、编制说明</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2、企业概况</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3、应急组织体系</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4、环境风险分析</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5、预防与预警</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6、应急处理</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7、后期处置</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8、应急保障</w:t>
            </w:r>
          </w:p>
          <w:p>
            <w:pPr>
              <w:adjustRightInd/>
              <w:snapToGrid/>
              <w:spacing w:after="0" w:line="0" w:lineRule="atLeast"/>
              <w:rPr>
                <w:rFonts w:hint="eastAsia" w:ascii="宋体" w:hAnsi="宋体" w:eastAsia="宋体" w:cs="宋体"/>
                <w:sz w:val="24"/>
                <w:szCs w:val="24"/>
              </w:rPr>
            </w:pPr>
            <w:r>
              <w:rPr>
                <w:rFonts w:hint="eastAsia" w:ascii="宋体" w:hAnsi="宋体" w:eastAsia="宋体" w:cs="宋体"/>
                <w:sz w:val="24"/>
                <w:szCs w:val="24"/>
              </w:rPr>
              <w:t>9、监督与管理</w:t>
            </w:r>
          </w:p>
          <w:p>
            <w:pPr>
              <w:spacing w:line="372" w:lineRule="auto"/>
              <w:rPr>
                <w:rFonts w:hint="eastAsia" w:ascii="宋体" w:hAnsi="宋体" w:eastAsia="宋体" w:cs="宋体"/>
                <w:sz w:val="24"/>
                <w:szCs w:val="24"/>
              </w:rPr>
            </w:pPr>
            <w:r>
              <w:rPr>
                <w:rFonts w:hint="eastAsia" w:ascii="宋体" w:hAnsi="宋体" w:eastAsia="宋体" w:cs="宋体"/>
                <w:sz w:val="24"/>
                <w:szCs w:val="24"/>
              </w:rPr>
              <w:t>10、附则</w:t>
            </w:r>
          </w:p>
        </w:tc>
      </w:tr>
    </w:tbl>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r>
        <w:rPr>
          <w:rFonts w:hint="eastAsia" w:ascii="宋体" w:hAnsi="宋体" w:eastAsia="宋体" w:cs="宋体"/>
          <w:sz w:val="24"/>
          <w:szCs w:val="24"/>
        </w:rPr>
        <w:t>六、环境自行监测方案</w:t>
      </w:r>
    </w:p>
    <w:tbl>
      <w:tblPr>
        <w:tblStyle w:val="4"/>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7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257"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主要内容</w:t>
            </w:r>
          </w:p>
        </w:tc>
        <w:tc>
          <w:tcPr>
            <w:tcW w:w="7583"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按自行监测要求制定</w:t>
            </w:r>
            <w:r>
              <w:rPr>
                <w:rFonts w:hint="eastAsia" w:ascii="宋体" w:hAnsi="宋体" w:eastAsia="宋体" w:cs="宋体"/>
                <w:sz w:val="24"/>
                <w:szCs w:val="24"/>
              </w:rPr>
              <w:t>监测方案。</w:t>
            </w:r>
          </w:p>
        </w:tc>
      </w:tr>
    </w:tbl>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r>
        <w:rPr>
          <w:rFonts w:hint="eastAsia" w:ascii="宋体" w:hAnsi="宋体" w:eastAsia="宋体" w:cs="宋体"/>
          <w:sz w:val="24"/>
          <w:szCs w:val="24"/>
        </w:rPr>
        <w:t>七、其他应当公开的环境信息</w:t>
      </w:r>
    </w:p>
    <w:tbl>
      <w:tblPr>
        <w:tblStyle w:val="4"/>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2197"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其他应当公开的环境信息</w:t>
            </w:r>
          </w:p>
        </w:tc>
        <w:tc>
          <w:tcPr>
            <w:tcW w:w="7553" w:type="dxa"/>
            <w:noWrap w:val="0"/>
            <w:vAlign w:val="center"/>
          </w:tcPr>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rPr>
            </w:pPr>
          </w:p>
          <w:p>
            <w:pPr>
              <w:spacing w:line="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bl>
    <w:p>
      <w:pPr>
        <w:spacing w:line="0" w:lineRule="atLeast"/>
        <w:rPr>
          <w:rFonts w:hint="eastAsia" w:ascii="宋体" w:hAnsi="宋体" w:eastAsia="宋体" w:cs="宋体"/>
          <w:sz w:val="24"/>
          <w:szCs w:val="24"/>
        </w:rPr>
      </w:pPr>
      <w:r>
        <w:rPr>
          <w:rFonts w:hint="eastAsia" w:ascii="宋体" w:hAnsi="宋体" w:eastAsia="宋体" w:cs="宋体"/>
          <w:sz w:val="24"/>
          <w:szCs w:val="24"/>
        </w:rPr>
        <w:t>填表说明：</w:t>
      </w:r>
    </w:p>
    <w:p>
      <w:pPr>
        <w:spacing w:line="0" w:lineRule="atLeast"/>
        <w:rPr>
          <w:rFonts w:hint="eastAsia" w:ascii="宋体" w:hAnsi="宋体" w:eastAsia="宋体" w:cs="宋体"/>
          <w:sz w:val="24"/>
          <w:szCs w:val="24"/>
        </w:rPr>
      </w:pPr>
      <w:r>
        <w:rPr>
          <w:rFonts w:hint="eastAsia" w:ascii="宋体" w:hAnsi="宋体" w:eastAsia="宋体" w:cs="宋体"/>
          <w:sz w:val="24"/>
          <w:szCs w:val="24"/>
        </w:rPr>
        <w:t>排放口编号或名称应与排污许可证上载明的一致，排放口位置为排放口所在的经纬度，排放方式为纳管或排环境，排放浓度为最近一次监测数值，排放总量最近一次的年度实际排放总量，核定的排放总量为排污许可证上载明的核定排放总量。</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25ADE"/>
    <w:rsid w:val="00040D92"/>
    <w:rsid w:val="00052D55"/>
    <w:rsid w:val="001E0327"/>
    <w:rsid w:val="00200507"/>
    <w:rsid w:val="00274420"/>
    <w:rsid w:val="00312927"/>
    <w:rsid w:val="00317546"/>
    <w:rsid w:val="00877F97"/>
    <w:rsid w:val="00893333"/>
    <w:rsid w:val="008D5D92"/>
    <w:rsid w:val="00CA1BA4"/>
    <w:rsid w:val="00CF59E8"/>
    <w:rsid w:val="00E55CF7"/>
    <w:rsid w:val="00E965E4"/>
    <w:rsid w:val="00EB491A"/>
    <w:rsid w:val="00EC2ACC"/>
    <w:rsid w:val="00EF7CCC"/>
    <w:rsid w:val="00FF7206"/>
    <w:rsid w:val="01426546"/>
    <w:rsid w:val="02A1178E"/>
    <w:rsid w:val="033A7980"/>
    <w:rsid w:val="03E37CED"/>
    <w:rsid w:val="0A056D4B"/>
    <w:rsid w:val="0C337593"/>
    <w:rsid w:val="0D2838AD"/>
    <w:rsid w:val="0D886BD7"/>
    <w:rsid w:val="0E3C1CCB"/>
    <w:rsid w:val="0EC14482"/>
    <w:rsid w:val="0F0F5866"/>
    <w:rsid w:val="112E02FA"/>
    <w:rsid w:val="118B5AD6"/>
    <w:rsid w:val="123E0D2E"/>
    <w:rsid w:val="129A124C"/>
    <w:rsid w:val="135E3453"/>
    <w:rsid w:val="13A85E50"/>
    <w:rsid w:val="14D67CD8"/>
    <w:rsid w:val="156670AB"/>
    <w:rsid w:val="15FA7856"/>
    <w:rsid w:val="16A135AF"/>
    <w:rsid w:val="18033333"/>
    <w:rsid w:val="18522F76"/>
    <w:rsid w:val="185F480A"/>
    <w:rsid w:val="19C553D6"/>
    <w:rsid w:val="1AAC61B5"/>
    <w:rsid w:val="1F31003B"/>
    <w:rsid w:val="22877F02"/>
    <w:rsid w:val="23385CD8"/>
    <w:rsid w:val="24FF6B12"/>
    <w:rsid w:val="2523168C"/>
    <w:rsid w:val="25635E49"/>
    <w:rsid w:val="278B23EE"/>
    <w:rsid w:val="2B325ADE"/>
    <w:rsid w:val="2CB93816"/>
    <w:rsid w:val="2D542A17"/>
    <w:rsid w:val="2E773DF8"/>
    <w:rsid w:val="2E807459"/>
    <w:rsid w:val="2FFC7C4A"/>
    <w:rsid w:val="30567B0B"/>
    <w:rsid w:val="323C5095"/>
    <w:rsid w:val="32B964B1"/>
    <w:rsid w:val="32E406C6"/>
    <w:rsid w:val="33540C46"/>
    <w:rsid w:val="35956BF6"/>
    <w:rsid w:val="36C450EA"/>
    <w:rsid w:val="36E4570C"/>
    <w:rsid w:val="38764AB1"/>
    <w:rsid w:val="39E7368D"/>
    <w:rsid w:val="3A23794F"/>
    <w:rsid w:val="3AFD6099"/>
    <w:rsid w:val="3BF16F66"/>
    <w:rsid w:val="3C431B5B"/>
    <w:rsid w:val="3C683F1D"/>
    <w:rsid w:val="3EFE1167"/>
    <w:rsid w:val="3EFF0DE7"/>
    <w:rsid w:val="3FFA381F"/>
    <w:rsid w:val="400E0FA4"/>
    <w:rsid w:val="42027D07"/>
    <w:rsid w:val="4298644F"/>
    <w:rsid w:val="42E75EA4"/>
    <w:rsid w:val="451B16FB"/>
    <w:rsid w:val="45D27E9B"/>
    <w:rsid w:val="47FA65A7"/>
    <w:rsid w:val="483A536B"/>
    <w:rsid w:val="484C2C4F"/>
    <w:rsid w:val="4BC734BA"/>
    <w:rsid w:val="4C8F2674"/>
    <w:rsid w:val="4CBA3672"/>
    <w:rsid w:val="4D280422"/>
    <w:rsid w:val="51AA40B6"/>
    <w:rsid w:val="52DA5620"/>
    <w:rsid w:val="5394605A"/>
    <w:rsid w:val="556C60B3"/>
    <w:rsid w:val="58FB500B"/>
    <w:rsid w:val="591C15B3"/>
    <w:rsid w:val="5BE33ACC"/>
    <w:rsid w:val="5C60272B"/>
    <w:rsid w:val="5F62370B"/>
    <w:rsid w:val="5F8E78C0"/>
    <w:rsid w:val="60D45B6B"/>
    <w:rsid w:val="61F82117"/>
    <w:rsid w:val="632B1F1C"/>
    <w:rsid w:val="64837576"/>
    <w:rsid w:val="65067B4F"/>
    <w:rsid w:val="662F136D"/>
    <w:rsid w:val="66B87515"/>
    <w:rsid w:val="69A9376B"/>
    <w:rsid w:val="6A6E52BC"/>
    <w:rsid w:val="6A9E6E7B"/>
    <w:rsid w:val="6AFE45A9"/>
    <w:rsid w:val="6B12762A"/>
    <w:rsid w:val="70792114"/>
    <w:rsid w:val="70B0259F"/>
    <w:rsid w:val="70CB2B67"/>
    <w:rsid w:val="7172232C"/>
    <w:rsid w:val="73A722CC"/>
    <w:rsid w:val="742B7B9B"/>
    <w:rsid w:val="79387870"/>
    <w:rsid w:val="79B338D7"/>
    <w:rsid w:val="79F842AA"/>
    <w:rsid w:val="7B1C0B89"/>
    <w:rsid w:val="7FE873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
    <w:basedOn w:val="8"/>
    <w:qFormat/>
    <w:uiPriority w:val="0"/>
    <w:pPr>
      <w:spacing w:line="240" w:lineRule="auto"/>
      <w:ind w:firstLine="0" w:firstLineChars="0"/>
      <w:jc w:val="center"/>
    </w:pPr>
    <w:rPr>
      <w:sz w:val="21"/>
    </w:rPr>
  </w:style>
  <w:style w:type="paragraph" w:customStyle="1" w:styleId="8">
    <w:name w:val="正文1"/>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styleId="9">
    <w:name w:val="List Paragraph"/>
    <w:basedOn w:val="1"/>
    <w:qFormat/>
    <w:uiPriority w:val="0"/>
    <w:pPr>
      <w:widowControl/>
      <w:spacing w:after="200" w:line="252" w:lineRule="auto"/>
      <w:ind w:left="720"/>
      <w:contextualSpacing/>
      <w:jc w:val="left"/>
    </w:pPr>
    <w:rPr>
      <w:rFonts w:ascii="Cambria" w:hAnsi="Cambria"/>
      <w:kern w:val="0"/>
      <w:sz w:val="22"/>
      <w:szCs w:val="22"/>
      <w:lang w:eastAsia="en-US" w:bidi="en-US"/>
    </w:rPr>
  </w:style>
  <w:style w:type="paragraph" w:customStyle="1" w:styleId="10">
    <w:name w:val="正文_33"/>
    <w:qFormat/>
    <w:uiPriority w:val="0"/>
    <w:pPr>
      <w:widowControl w:val="0"/>
      <w:jc w:val="both"/>
    </w:pPr>
    <w:rPr>
      <w:rFonts w:ascii="Calibri" w:hAnsi="Calibri" w:eastAsia="宋体" w:cs="Times New Roman"/>
      <w:kern w:val="2"/>
      <w:sz w:val="21"/>
      <w:lang w:val="en-US" w:eastAsia="zh-CN" w:bidi="ar-SA"/>
    </w:rPr>
  </w:style>
  <w:style w:type="paragraph" w:customStyle="1" w:styleId="11">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_29"/>
    <w:qFormat/>
    <w:uiPriority w:val="0"/>
    <w:pPr>
      <w:widowControl w:val="0"/>
      <w:jc w:val="both"/>
    </w:pPr>
    <w:rPr>
      <w:rFonts w:ascii="Calibri" w:hAnsi="Calibri" w:eastAsia="宋体" w:cs="Times New Roman"/>
      <w:kern w:val="2"/>
      <w:sz w:val="21"/>
      <w:lang w:val="en-US" w:eastAsia="zh-CN" w:bidi="ar-SA"/>
    </w:rPr>
  </w:style>
  <w:style w:type="paragraph" w:customStyle="1" w:styleId="13">
    <w:name w:val="正文_9"/>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2324</Characters>
  <Lines>19</Lines>
  <Paragraphs>5</Paragraphs>
  <TotalTime>2</TotalTime>
  <ScaleCrop>false</ScaleCrop>
  <LinksUpToDate>false</LinksUpToDate>
  <CharactersWithSpaces>2726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2015-03-25T03:34:00Z</dcterms:created>
  <dc:creator>Administrator</dc:creator>
  <cp:lastModifiedBy>廖翔</cp:lastModifiedBy>
  <cp:lastPrinted>2015-11-23T01:16:00Z</cp:lastPrinted>
  <dcterms:modified xsi:type="dcterms:W3CDTF">2021-09-03T06:26:35Z</dcterms:modified>
  <dc:title>环境信息公开栏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70A7925C41C44FE89EAF884F7BEE3F09</vt:lpwstr>
  </property>
</Properties>
</file>