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2023年度述职述责述廉报告</w:t>
      </w: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市环境局直属机关党委副书记、督查专员  南荣民</w:t>
      </w: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（2024年1月）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2023年以来，</w:t>
      </w:r>
      <w:r>
        <w:rPr>
          <w:rFonts w:hint="eastAsia" w:ascii="仿宋_GB2312" w:hAnsi="仿宋_GB2312" w:eastAsia="仿宋_GB2312" w:cs="仿宋_GB2312"/>
          <w:sz w:val="32"/>
          <w:szCs w:val="32"/>
          <w:lang w:eastAsia="zh-CN"/>
        </w:rPr>
        <w:t>自己始终</w:t>
      </w:r>
      <w:r>
        <w:rPr>
          <w:rFonts w:hint="eastAsia"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sz w:val="32"/>
          <w:szCs w:val="32"/>
          <w:lang w:eastAsia="zh-CN"/>
        </w:rPr>
        <w:t>深入践行习近平生态文明思想，</w:t>
      </w:r>
      <w:r>
        <w:rPr>
          <w:rFonts w:hint="eastAsia" w:ascii="仿宋_GB2312" w:hAnsi="仿宋_GB2312" w:eastAsia="仿宋_GB2312" w:cs="仿宋_GB2312"/>
          <w:sz w:val="32"/>
          <w:szCs w:val="32"/>
        </w:rPr>
        <w:t>认真贯彻落实</w:t>
      </w:r>
      <w:r>
        <w:rPr>
          <w:rFonts w:hint="eastAsia" w:ascii="仿宋_GB2312" w:hAnsi="仿宋_GB2312" w:eastAsia="仿宋_GB2312" w:cs="仿宋_GB2312"/>
          <w:sz w:val="32"/>
          <w:szCs w:val="32"/>
          <w:lang w:val="en-US" w:eastAsia="zh-CN"/>
        </w:rPr>
        <w:t>党中央</w:t>
      </w:r>
      <w:r>
        <w:rPr>
          <w:rFonts w:hint="eastAsia" w:ascii="仿宋_GB2312" w:hAnsi="仿宋_GB2312" w:eastAsia="仿宋_GB2312" w:cs="仿宋_GB2312"/>
          <w:sz w:val="32"/>
          <w:szCs w:val="32"/>
        </w:rPr>
        <w:t>决策部署，以打好污染防治攻坚战</w:t>
      </w:r>
      <w:r>
        <w:rPr>
          <w:rFonts w:hint="eastAsia" w:ascii="仿宋_GB2312" w:hAnsi="仿宋_GB2312" w:eastAsia="仿宋_GB2312" w:cs="仿宋_GB2312"/>
          <w:sz w:val="32"/>
          <w:szCs w:val="32"/>
          <w:lang w:eastAsia="zh-CN"/>
        </w:rPr>
        <w:t>、秦岭生态保护、环保督察为</w:t>
      </w:r>
      <w:r>
        <w:rPr>
          <w:rFonts w:hint="eastAsia" w:ascii="仿宋_GB2312" w:hAnsi="仿宋_GB2312" w:eastAsia="仿宋_GB2312" w:cs="仿宋_GB2312"/>
          <w:sz w:val="32"/>
          <w:szCs w:val="32"/>
        </w:rPr>
        <w:t>己任，履职尽责，</w:t>
      </w:r>
      <w:r>
        <w:rPr>
          <w:rFonts w:hint="eastAsia" w:ascii="仿宋_GB2312" w:hAnsi="仿宋_GB2312" w:eastAsia="仿宋_GB2312" w:cs="仿宋_GB2312"/>
          <w:sz w:val="32"/>
          <w:szCs w:val="32"/>
          <w:lang w:eastAsia="zh-CN"/>
        </w:rPr>
        <w:t>圆满</w:t>
      </w:r>
      <w:r>
        <w:rPr>
          <w:rFonts w:hint="eastAsia" w:ascii="仿宋_GB2312" w:hAnsi="仿宋_GB2312" w:eastAsia="仿宋_GB2312" w:cs="仿宋_GB2312"/>
          <w:sz w:val="32"/>
          <w:szCs w:val="32"/>
        </w:rPr>
        <w:t>完成了各项工作任务。按照市局</w:t>
      </w:r>
      <w:r>
        <w:rPr>
          <w:rFonts w:hint="eastAsia" w:ascii="仿宋_GB2312" w:hAnsi="仿宋_GB2312" w:eastAsia="仿宋_GB2312" w:cs="仿宋_GB2312"/>
          <w:sz w:val="32"/>
          <w:szCs w:val="32"/>
          <w:lang w:eastAsia="zh-CN"/>
        </w:rPr>
        <w:t>领导班子</w:t>
      </w:r>
      <w:r>
        <w:rPr>
          <w:rFonts w:hint="eastAsia" w:ascii="仿宋_GB2312" w:hAnsi="仿宋_GB2312" w:eastAsia="仿宋_GB2312" w:cs="仿宋_GB2312"/>
          <w:sz w:val="32"/>
          <w:szCs w:val="32"/>
        </w:rPr>
        <w:t>分工，分管土壤污染监管科、督察整改办、机关党办，联系市环境宣传教育信息中心</w:t>
      </w:r>
      <w:r>
        <w:rPr>
          <w:rFonts w:hint="eastAsia" w:ascii="仿宋_GB2312" w:hAnsi="仿宋_GB2312" w:eastAsia="仿宋_GB2312" w:cs="仿宋_GB2312"/>
          <w:sz w:val="32"/>
          <w:szCs w:val="32"/>
          <w:lang w:eastAsia="zh-CN"/>
        </w:rPr>
        <w:t>，现将履职情况报告如下。</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60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加强理论学习，提升政治站位</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把学习作为加强党性修养、改进工作作风、提升工作能力、创造工作业绩的重要抓手，贯穿工作全过程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牢牢把握主题教育总要求和目标任务，把必读书、选读书作为“案头卷”“枕边书”，在深化内化转化上下苦功夫，不断提升理论素养，筑牢思想根基。坚持用党的创新理论观察新形势、研究新情况、解决新问题，努力掌握蕴含其中的立场、观点、方法，不断涵养政治定力，炼就政治慧眼，提高服务群众、服务大局的政治能力。坚定拥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两个确立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牢固树立</w:t>
      </w:r>
      <w:r>
        <w:rPr>
          <w:rFonts w:hint="eastAsia" w:ascii="仿宋_GB2312" w:hAnsi="仿宋_GB2312" w:eastAsia="仿宋_GB2312" w:cs="仿宋_GB2312"/>
          <w:sz w:val="32"/>
          <w:szCs w:val="32"/>
          <w:lang w:eastAsia="zh-CN"/>
        </w:rPr>
        <w:t>“四个意识”，</w:t>
      </w:r>
      <w:r>
        <w:rPr>
          <w:rFonts w:hint="eastAsia" w:ascii="仿宋_GB2312" w:hAnsi="仿宋_GB2312" w:eastAsia="仿宋_GB2312" w:cs="仿宋_GB2312"/>
          <w:sz w:val="32"/>
          <w:szCs w:val="32"/>
          <w:lang w:val="en-US" w:eastAsia="zh-CN"/>
        </w:rPr>
        <w:t>坚定</w:t>
      </w:r>
      <w:r>
        <w:rPr>
          <w:rFonts w:hint="eastAsia" w:ascii="仿宋_GB2312" w:hAnsi="仿宋_GB2312" w:eastAsia="仿宋_GB2312" w:cs="仿宋_GB2312"/>
          <w:sz w:val="32"/>
          <w:szCs w:val="32"/>
          <w:lang w:eastAsia="zh-CN"/>
        </w:rPr>
        <w:t>“四个自信”</w:t>
      </w:r>
      <w:r>
        <w:rPr>
          <w:rFonts w:hint="eastAsia" w:ascii="仿宋_GB2312" w:hAnsi="仿宋_GB2312" w:eastAsia="仿宋_GB2312" w:cs="仿宋_GB2312"/>
          <w:sz w:val="32"/>
          <w:szCs w:val="32"/>
          <w:lang w:val="en-US" w:eastAsia="zh-CN"/>
        </w:rPr>
        <w:t>，坚决做到</w:t>
      </w:r>
      <w:r>
        <w:rPr>
          <w:rFonts w:hint="eastAsia" w:ascii="仿宋_GB2312" w:hAnsi="仿宋_GB2312" w:eastAsia="仿宋_GB2312" w:cs="仿宋_GB2312"/>
          <w:sz w:val="32"/>
          <w:szCs w:val="32"/>
          <w:lang w:eastAsia="zh-CN"/>
        </w:rPr>
        <w:t>“两个维护”，</w:t>
      </w:r>
      <w:r>
        <w:rPr>
          <w:rFonts w:hint="eastAsia" w:ascii="仿宋_GB2312" w:hAnsi="仿宋_GB2312" w:eastAsia="仿宋_GB2312" w:cs="仿宋_GB2312"/>
          <w:sz w:val="32"/>
          <w:szCs w:val="32"/>
          <w:lang w:val="en-US" w:eastAsia="zh-CN"/>
        </w:rPr>
        <w:t>始终</w:t>
      </w:r>
      <w:r>
        <w:rPr>
          <w:rFonts w:hint="eastAsia" w:ascii="仿宋_GB2312" w:hAnsi="仿宋_GB2312" w:eastAsia="仿宋_GB2312" w:cs="仿宋_GB2312"/>
          <w:b w:val="0"/>
          <w:bCs w:val="0"/>
          <w:sz w:val="32"/>
          <w:szCs w:val="32"/>
          <w:lang w:eastAsia="zh-CN"/>
        </w:rPr>
        <w:t>心怀“国之大者”，</w:t>
      </w:r>
      <w:r>
        <w:rPr>
          <w:rFonts w:hint="eastAsia" w:ascii="仿宋_GB2312" w:hAnsi="仿宋_GB2312" w:eastAsia="仿宋_GB2312" w:cs="仿宋_GB2312"/>
          <w:b w:val="0"/>
          <w:bCs w:val="0"/>
          <w:sz w:val="32"/>
          <w:szCs w:val="32"/>
          <w:lang w:val="en-US" w:eastAsia="zh-CN"/>
        </w:rPr>
        <w:t>不负殷殷嘱托。</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60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全面履职尽责，务求工作实效</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（一）机关党建质量稳步提升。</w:t>
      </w:r>
      <w:r>
        <w:rPr>
          <w:rFonts w:hint="eastAsia" w:ascii="仿宋_GB2312" w:hAnsi="Times New Roman" w:eastAsia="仿宋_GB2312" w:cs="Times New Roman"/>
          <w:kern w:val="2"/>
          <w:sz w:val="32"/>
          <w:szCs w:val="32"/>
          <w:lang w:val="en-US" w:eastAsia="zh-CN" w:bidi="ar-SA"/>
        </w:rPr>
        <w:t>扎实推进“双创双融”，开展学习贯彻习近平新时代中国特色社会主义思想主题教育，落实“第一议题”和“周学习”制度，举办县级领导班子读书班1期，集体学习45次，专题研讨14次，讲专题党课11次，专题宣讲21次。支部集体学习50余次、研讨6次，观看红色影片1次，局党组及县级领导开展11个专题调研，深入一线调研34次，发现各类问题46个，转化具体举措21条，制定制度14个。举办全系统主题演讲赛、第五届“绿宝杯”全国环保征文大赛，与陕西大西沟矿业公司进行组织联建，开展庆祝中国共产党成立102周年系列活动。落实“三会一课”、组织生活会、民主评议党员、党组织书记述职评议、主题党日和党员“评星晋级”积分管理等制度。开展“两优一先”表彰、“光荣在党50年”纪念章颁发和党员关爱慰问工作。落实“双报到、双考评”制度和“三联三促”工作，机关党委与帮扶村党支部开展党建品牌共建，每年支部划拨20万元单位办公经费用于帮扶村建设。组织党员到商州区刘塬社区开展志愿服务、关爱慰问和政策宣传活动。</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eastAsia="仿宋_GB2312" w:cs="Times New Roman"/>
          <w:sz w:val="32"/>
          <w:szCs w:val="32"/>
          <w:lang w:val="en-US" w:eastAsia="zh-CN"/>
        </w:rPr>
      </w:pPr>
      <w:r>
        <w:rPr>
          <w:rFonts w:hint="eastAsia" w:ascii="楷体" w:hAnsi="楷体" w:eastAsia="楷体" w:cs="楷体"/>
          <w:b/>
          <w:bCs/>
          <w:kern w:val="2"/>
          <w:sz w:val="32"/>
          <w:szCs w:val="32"/>
          <w:lang w:val="en-US" w:eastAsia="zh-CN" w:bidi="ar-SA"/>
        </w:rPr>
        <w:t>（二）“清廉环保”建设成效显著。</w:t>
      </w:r>
      <w:r>
        <w:rPr>
          <w:rFonts w:hint="eastAsia" w:ascii="仿宋_GB2312" w:eastAsia="仿宋_GB2312" w:cs="Times New Roman"/>
          <w:sz w:val="32"/>
          <w:szCs w:val="32"/>
          <w:lang w:val="en-US" w:eastAsia="zh-CN"/>
        </w:rPr>
        <w:t>召开全系统年度全面从严治党工作会和半年推进会，印发了党建、党风廉政建设和机关纪检《工作要点》，与各单位签订了目标责任书。扎实开展“强作风锻造生态环保铁军 提能力当好秦岭生态卫士”干部作风能力提升年活动。印发了《贯彻落实中央八项规定实施细则精神的实施办法》，开展以案促改、纪律作风教育整顿、纪律教育宣传月、家庭助廉等活动，组织观看“廉洁文化三秦行”、《远山花开》、清廉商洛书法美术作品展，廉政教育、警示教育27次，廉政谈话8次，廉洁档案备案、签订廉政承诺书400余份，党员干部制定问题整改清单及台账300余份，廉政风险排查20余份。开展“换脑子 转作风 强责任 提能力”专项整顿，落实“十查十改十提高”要求，提醒谈话4次、检查督查15次。主题教育中局党组班子、支部和党员共检视问题201个，全面整改提升。</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（三）净土保卫战推进扎实。</w:t>
      </w:r>
      <w:r>
        <w:rPr>
          <w:rFonts w:hint="eastAsia" w:ascii="仿宋_GB2312" w:hAnsi="Times New Roman" w:eastAsia="仿宋_GB2312" w:cs="Times New Roman"/>
          <w:kern w:val="2"/>
          <w:sz w:val="32"/>
          <w:szCs w:val="32"/>
          <w:lang w:val="en-US" w:eastAsia="zh-CN" w:bidi="ar-SA"/>
        </w:rPr>
        <w:t>制定印发《2023年净土保卫战工作实施方案》《商洛市关于加强生物多样性保护的实施方案》《商洛市“十四五”畜禽养殖污染防治规划》等文件，完成118个农村生活污水“双60%”任务，提前实现“十四五”农村生活污水治理率达到40%的目标。开展商洛市“绿盾2022”暨自然保护地遥感监测线索实地核查，完成3个自然保护地问题点位的核查公示销号，开展商洛市秦岭大熊猫栖息地和秦岭地区疑似生态破坏、国家湿地公园生态环境问题问题核查，实地核查涉及商州丹江源国家湿地公园21个线索问题。争取中央地下水污染防治重点区划定项目资金1200万元，谋划生态保护红线保护成效评估项目1个，申报资金450万元。开展粮食产地环境治理攻坚行动和全市涉镉排查整治，完成1家企业整治并销号，完成年度本部门耕地保护和粮食安全责任制考核工作。加快推进土壤环境源头治理，建立《商洛市2023年土壤污染重点监管单位名录》，组织开展了13家土壤重点监管单位隐患排查整治成效“回头看”，完成了8家单位周边土壤环境监测。强化土壤污染风险管控，7家企业完成优先地块制度管控，保障重点建设用地安全利用，联合自然资源部门规范报批建设用地土壤污染状况调查工作，完成28宗建设用地土壤污染状况调查。</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（四）环保督察反馈问题整改有序。</w:t>
      </w:r>
      <w:r>
        <w:rPr>
          <w:rFonts w:hint="eastAsia" w:ascii="仿宋_GB2312" w:hAnsi="Times New Roman" w:eastAsia="仿宋_GB2312" w:cs="Times New Roman"/>
          <w:kern w:val="2"/>
          <w:sz w:val="32"/>
          <w:szCs w:val="32"/>
          <w:lang w:val="en-US" w:eastAsia="zh-CN" w:bidi="ar-SA"/>
        </w:rPr>
        <w:t>做好中省督察反馈问题及交办信访件整改工作，督促各级各部门认真开展整改工作，按照生态环境保护责任清单，落实各自环保工作职责。提请市政府召开环保督察整改专项会议6次，提请市委常委会、市政府常务会分别听取环保督察整改汇报各1次，向市委市政府领导呈报送阅件3期。牵头组织开展了2次多部门联合核查，分别会同省督察办、商洛督察局、市委督查办、市城管局等部门对督察整改及黄龙河整治等重点工作开展6次专项核查，配合省委核查组对商州丰源问题整改开展2次现场核查。向省督察办报送月调度表18期，向市政府报送环保督察及黄龙河问题整改周报14期。印发督办、交办、提醒函共18份，综合通报2期。在市级“一台一报一网”公开省环保督察整改及追责问责情况。协调市级部门向省级上报销号申请3份，对省环保督察问题市级销号2批4件。截止2023年底，第二轮中央环保督察反馈我市的10个问题已完成整改6个，剩余4个问题正在按时序进度整改，第二轮省环保督察反馈我市的24个问题均已完成整改，按期实现“清零”目标。</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_GB2312" w:hAnsi="Times New Roman"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（五）环境宣传教育深入人心。</w:t>
      </w:r>
      <w:r>
        <w:rPr>
          <w:rFonts w:hint="eastAsia" w:ascii="仿宋_GB2312" w:hAnsi="Times New Roman" w:eastAsia="仿宋_GB2312" w:cs="Times New Roman"/>
          <w:kern w:val="2"/>
          <w:sz w:val="32"/>
          <w:szCs w:val="32"/>
          <w:lang w:val="en-US" w:eastAsia="zh-CN" w:bidi="ar-SA"/>
        </w:rPr>
        <w:t>2023年全年共编发《商洛生态环境》信息18期，在市级以上新闻媒体刊发宣传稿件1743余篇，编发“两微一端”原创稿件1800余条，通过“商洛生态环境”微信、微博发布稿件1278余条，邀请市级主流媒体及中省驻商媒体召开新闻发布会4次。开展“六˙五”环境日、“全国低碳日”集中宣传活动、环保设施向公众开放活动、环保宣传“六进”活动，宣传生态环境保护工作成效、部门工作职责、环境污染防治技术、环保科普知识等。持续深化“十百千万”环保在行动倍增计划，联合市发改委、市教育局、市妇联开展“绿色学校”“禁塑限塑”绿色示范校、“绿色家庭示范户”创建活动。开展“环保五十年 生态新成就”主题调研采访活动，拍摄制作《生态长卷康养商洛》生态文明示范创建专题片以及商洛市2023年“全国低碳日”专题宣传片。举行第五届“绿宝杯”全国生态环境保护征文大赛颁奖典礼，扩大商洛生态文学品牌影响力，宣传商洛生态文明建设新成效。</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三、严格律己修身，永葆政治本色</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right="0" w:rightChars="0" w:firstLine="640" w:firstLineChars="200"/>
        <w:jc w:val="left"/>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时时刻刻以党员领导干部标准对照要求自己，勤掸“思想尘”、多思“贪欲害”、常破“心中贼”，做到正心明道、怀德自重。以敬畏之心用权，认真遵守中央八项规定精神和各项规章制度要求，对标道德高线、不触纪律红线、守住法律底线。以谨慎之心处事，摆正自身位置，珍惜来之不易的干事创业平台，做到慎言、慎行、慎独、慎微。以平常之心生活，不攀比、不抱怨，以坦诚之心对待得失，保持严肃的生活作风和健康的生活情趣。 </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四、存在问题及原因分析</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600" w:lineRule="exact"/>
        <w:ind w:left="0" w:firstLine="643"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sz w:val="32"/>
          <w:szCs w:val="32"/>
          <w:lang w:val="en-US" w:eastAsia="zh-CN"/>
        </w:rPr>
        <w:t>（一）政治理论学习还不够全面。</w:t>
      </w:r>
      <w:r>
        <w:rPr>
          <w:rFonts w:hint="eastAsia" w:ascii="仿宋_GB2312" w:hAnsi="仿宋_GB2312" w:eastAsia="仿宋_GB2312" w:cs="仿宋_GB2312"/>
          <w:color w:val="auto"/>
          <w:kern w:val="2"/>
          <w:sz w:val="32"/>
          <w:szCs w:val="32"/>
          <w:lang w:val="en-US" w:eastAsia="zh-CN" w:bidi="ar-SA"/>
        </w:rPr>
        <w:t>对习近平新时代中国特色社会主义思想学习理解不够深入透彻，在系统全面学、拓展延伸学方面下功夫还不够。主要原因是参加</w:t>
      </w:r>
      <w:r>
        <w:rPr>
          <w:rFonts w:hint="eastAsia" w:ascii="仿宋_GB2312" w:hAnsi="仿宋_GB2312" w:eastAsia="仿宋_GB2312" w:cs="仿宋_GB2312"/>
          <w:b w:val="0"/>
          <w:bCs w:val="0"/>
          <w:color w:val="auto"/>
          <w:sz w:val="32"/>
          <w:szCs w:val="32"/>
          <w:lang w:val="en-US" w:eastAsia="zh-CN"/>
        </w:rPr>
        <w:t>集体学习较多，个人自我学习、专门学习时间不足，对一些最新理论内容学习不够及时，不够深入系统</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sz w:val="32"/>
          <w:szCs w:val="32"/>
          <w:lang w:val="en-US" w:eastAsia="zh-CN"/>
        </w:rPr>
        <w:t>（二）决策科学性还有待提高。</w:t>
      </w:r>
      <w:r>
        <w:rPr>
          <w:rFonts w:hint="eastAsia" w:ascii="仿宋_GB2312" w:hAnsi="Times New Roman" w:eastAsia="仿宋_GB2312" w:cs="Times New Roman"/>
          <w:kern w:val="2"/>
          <w:sz w:val="32"/>
          <w:szCs w:val="32"/>
          <w:lang w:val="en-US" w:eastAsia="zh-CN" w:bidi="ar-SA"/>
        </w:rPr>
        <w:t>在某些重要决策中，由于缺乏充分的数据支持和科学分析，导致决策的准确性和预见性受到一定影响。主要原因是</w:t>
      </w:r>
      <w:r>
        <w:rPr>
          <w:rFonts w:hint="eastAsia" w:ascii="仿宋_GB2312" w:hAnsi="仿宋_GB2312" w:eastAsia="仿宋_GB2312" w:cs="仿宋_GB2312"/>
          <w:b w:val="0"/>
          <w:bCs w:val="0"/>
          <w:color w:val="auto"/>
          <w:sz w:val="32"/>
          <w:szCs w:val="32"/>
          <w:lang w:val="en-US" w:eastAsia="zh-CN"/>
        </w:rPr>
        <w:t>工作时间有限，对于专业知识的钻研学习不够，知识更新不及时，运用</w:t>
      </w:r>
      <w:r>
        <w:rPr>
          <w:rFonts w:hint="eastAsia" w:ascii="仿宋_GB2312" w:hAnsi="仿宋_GB2312" w:eastAsia="仿宋_GB2312" w:cs="仿宋_GB2312"/>
          <w:color w:val="auto"/>
          <w:kern w:val="2"/>
          <w:sz w:val="32"/>
          <w:szCs w:val="32"/>
          <w:lang w:val="en-US" w:eastAsia="zh-CN" w:bidi="ar-SA"/>
        </w:rPr>
        <w:t>新思想指导推动生态环境高质量发展的实践思考不够多、研究不深不透、工作发力不准。</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default"/>
          <w:lang w:val="en-US" w:eastAsia="zh-CN"/>
        </w:rPr>
      </w:pPr>
      <w:r>
        <w:rPr>
          <w:rFonts w:hint="eastAsia" w:ascii="楷体" w:hAnsi="楷体" w:eastAsia="楷体" w:cs="楷体"/>
          <w:b/>
          <w:bCs/>
          <w:color w:val="auto"/>
          <w:sz w:val="32"/>
          <w:szCs w:val="32"/>
          <w:lang w:val="en-US" w:eastAsia="zh-CN"/>
        </w:rPr>
        <w:t>（三）工作跟踪督导还不够到位。</w:t>
      </w:r>
      <w:r>
        <w:rPr>
          <w:rFonts w:hint="eastAsia" w:ascii="仿宋_GB2312" w:hAnsi="仿宋_GB2312" w:eastAsia="仿宋_GB2312" w:cs="仿宋_GB2312"/>
          <w:color w:val="auto"/>
          <w:kern w:val="2"/>
          <w:sz w:val="32"/>
          <w:szCs w:val="32"/>
          <w:lang w:val="en-US" w:eastAsia="zh-CN" w:bidi="ar-SA"/>
        </w:rPr>
        <w:t>对个人分管工作和领导交办的工作事项，常注重前期的督促跟进，缺乏对工作落实结果的持续督导，未能完全做好“后半篇文章”。主要原因是随着年龄增长，</w:t>
      </w:r>
      <w:r>
        <w:rPr>
          <w:rFonts w:hint="eastAsia" w:ascii="仿宋_GB2312" w:hAnsi="仿宋_GB2312" w:eastAsia="仿宋_GB2312" w:cs="仿宋_GB2312"/>
          <w:b w:val="0"/>
          <w:bCs w:val="0"/>
          <w:color w:val="auto"/>
          <w:sz w:val="32"/>
          <w:szCs w:val="32"/>
          <w:lang w:val="en-US" w:eastAsia="zh-CN"/>
        </w:rPr>
        <w:t>主动作为、亲力亲为的工作劲头有所减弱，一抓到底的决心和韧劲有所弱化，深入基层检查督导工作不够经常。</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600" w:lineRule="exact"/>
        <w:ind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w:t>
      </w:r>
      <w:bookmarkStart w:id="0" w:name="_GoBack"/>
      <w:bookmarkEnd w:id="0"/>
      <w:r>
        <w:rPr>
          <w:rFonts w:hint="eastAsia" w:ascii="黑体" w:hAnsi="黑体" w:eastAsia="黑体" w:cs="黑体"/>
          <w:kern w:val="2"/>
          <w:sz w:val="32"/>
          <w:szCs w:val="32"/>
          <w:lang w:val="en-US" w:eastAsia="zh-CN" w:bidi="ar-SA"/>
        </w:rPr>
        <w:t>下一步工作措施</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sz w:val="32"/>
          <w:szCs w:val="32"/>
          <w:lang w:val="en-US" w:eastAsia="zh-CN"/>
        </w:rPr>
        <w:t>（一）持续绷紧“</w:t>
      </w:r>
      <w:r>
        <w:rPr>
          <w:rFonts w:hint="eastAsia" w:ascii="楷体" w:hAnsi="楷体" w:eastAsia="楷体" w:cs="楷体"/>
          <w:b/>
          <w:bCs/>
          <w:color w:val="auto"/>
          <w:sz w:val="32"/>
          <w:szCs w:val="32"/>
          <w:lang w:val="en-US" w:eastAsia="zh-CN"/>
        </w:rPr>
        <w:t>思想弦</w:t>
      </w:r>
      <w:r>
        <w:rPr>
          <w:rFonts w:hint="eastAsia" w:ascii="楷体" w:hAnsi="楷体" w:eastAsia="楷体" w:cs="楷体"/>
          <w:b/>
          <w:bCs/>
          <w:color w:val="auto"/>
          <w:sz w:val="32"/>
          <w:szCs w:val="32"/>
          <w:lang w:val="en-US" w:eastAsia="zh-CN"/>
        </w:rPr>
        <w:t>”。</w:t>
      </w:r>
      <w:r>
        <w:rPr>
          <w:rFonts w:hint="eastAsia" w:ascii="仿宋_GB2312" w:hAnsi="仿宋_GB2312" w:eastAsia="仿宋_GB2312" w:cs="仿宋_GB2312"/>
          <w:color w:val="auto"/>
          <w:sz w:val="32"/>
          <w:szCs w:val="32"/>
          <w:lang w:val="en-US" w:eastAsia="zh-CN"/>
        </w:rPr>
        <w:t>坚持常态化开展学习贯彻习近平新时代中国特色社会主义思想主题教育，深刻领会习近平新时代中国特色社会主义思想丰富内涵，</w:t>
      </w:r>
      <w:r>
        <w:rPr>
          <w:rFonts w:hint="eastAsia" w:ascii="仿宋_GB2312" w:hAnsi="仿宋_GB2312" w:eastAsia="仿宋_GB2312" w:cs="仿宋_GB2312"/>
          <w:color w:val="auto"/>
          <w:sz w:val="32"/>
          <w:szCs w:val="32"/>
          <w:lang w:val="en-US" w:eastAsia="zh-CN"/>
        </w:rPr>
        <w:t>持续强化</w:t>
      </w:r>
      <w:r>
        <w:rPr>
          <w:rFonts w:hint="eastAsia" w:ascii="仿宋_GB2312" w:hAnsi="仿宋_GB2312" w:eastAsia="仿宋_GB2312" w:cs="仿宋_GB2312"/>
          <w:color w:val="auto"/>
          <w:sz w:val="32"/>
          <w:szCs w:val="32"/>
        </w:rPr>
        <w:t>理论武装，</w:t>
      </w:r>
      <w:r>
        <w:rPr>
          <w:rFonts w:hint="eastAsia" w:ascii="仿宋_GB2312" w:hAnsi="仿宋_GB2312" w:eastAsia="仿宋_GB2312" w:cs="仿宋_GB2312"/>
          <w:color w:val="auto"/>
          <w:sz w:val="32"/>
          <w:szCs w:val="32"/>
          <w:lang w:val="en-US" w:eastAsia="zh-CN"/>
        </w:rPr>
        <w:t>反复精读研学党的二十大报告全文，</w:t>
      </w:r>
      <w:r>
        <w:rPr>
          <w:rFonts w:hint="eastAsia" w:ascii="仿宋_GB2312" w:hAnsi="仿宋_GB2312" w:eastAsia="仿宋_GB2312" w:cs="仿宋_GB2312"/>
          <w:color w:val="auto"/>
          <w:kern w:val="2"/>
          <w:sz w:val="32"/>
          <w:szCs w:val="32"/>
          <w:lang w:val="en-US" w:eastAsia="zh-CN" w:bidi="ar-SA"/>
        </w:rPr>
        <w:t>做到将学习篇目融会贯通学、举一反三学，真正将学习所得转化为工作思路和工作方法，深化领会、转化运用。</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（二）持续种好“责任田”，</w:t>
      </w:r>
      <w:r>
        <w:rPr>
          <w:rFonts w:hint="eastAsia" w:ascii="仿宋_GB2312" w:hAnsi="仿宋_GB2312" w:eastAsia="仿宋_GB2312" w:cs="仿宋_GB2312"/>
          <w:sz w:val="32"/>
          <w:szCs w:val="32"/>
        </w:rPr>
        <w:t>认真贯彻落实</w:t>
      </w:r>
      <w:r>
        <w:rPr>
          <w:rFonts w:hint="eastAsia" w:ascii="仿宋_GB2312" w:hAnsi="仿宋_GB2312" w:eastAsia="仿宋_GB2312" w:cs="仿宋_GB2312"/>
          <w:sz w:val="32"/>
          <w:szCs w:val="32"/>
          <w:lang w:eastAsia="zh-CN"/>
        </w:rPr>
        <w:t>中央</w:t>
      </w:r>
      <w:r>
        <w:rPr>
          <w:rFonts w:hint="eastAsia" w:ascii="仿宋_GB2312" w:hAnsi="仿宋_GB2312" w:eastAsia="仿宋_GB2312" w:cs="仿宋_GB2312"/>
          <w:sz w:val="32"/>
          <w:szCs w:val="32"/>
          <w:lang w:val="en-US" w:eastAsia="zh-CN"/>
        </w:rPr>
        <w:t>决策部署</w:t>
      </w:r>
      <w:r>
        <w:rPr>
          <w:rFonts w:hint="eastAsia" w:ascii="仿宋_GB2312" w:hAnsi="仿宋_GB2312" w:eastAsia="仿宋_GB2312" w:cs="仿宋_GB2312"/>
          <w:sz w:val="32"/>
          <w:szCs w:val="32"/>
          <w:lang w:eastAsia="zh-CN"/>
        </w:rPr>
        <w:t>和省、市</w:t>
      </w:r>
      <w:r>
        <w:rPr>
          <w:rFonts w:hint="eastAsia" w:ascii="仿宋_GB2312" w:hAnsi="仿宋_GB2312" w:eastAsia="仿宋_GB2312" w:cs="仿宋_GB2312"/>
          <w:sz w:val="32"/>
          <w:szCs w:val="32"/>
          <w:lang w:val="en-US" w:eastAsia="zh-CN"/>
        </w:rPr>
        <w:t>工作要求</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细化梳理工作职能，全面完成2023年度收尾工作，积极谋划分管领域年度工作，积极筹备组织召开好2024年系统全面从严治党工作会，积极谋划党建主题活动，全力推进环保督察反馈问题整改工作，坚决打好净土保卫战，扩大环境宣传教育影响力，做到安排工作有方案、推进工作有举措、落实工作有回应、完成工作有成绩。</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pPr>
      <w:r>
        <w:rPr>
          <w:rFonts w:hint="eastAsia" w:ascii="楷体" w:hAnsi="楷体" w:eastAsia="楷体" w:cs="楷体"/>
          <w:b/>
          <w:bCs/>
          <w:color w:val="auto"/>
          <w:sz w:val="32"/>
          <w:szCs w:val="32"/>
          <w:lang w:val="en-US" w:eastAsia="zh-CN"/>
        </w:rPr>
        <w:t>（三）持续践行“公仆志”。</w:t>
      </w:r>
      <w:r>
        <w:rPr>
          <w:rFonts w:hint="eastAsia" w:ascii="仿宋_GB2312" w:hAnsi="仿宋_GB2312" w:eastAsia="仿宋_GB2312" w:cs="仿宋_GB2312"/>
          <w:color w:val="auto"/>
          <w:kern w:val="2"/>
          <w:sz w:val="32"/>
          <w:szCs w:val="32"/>
          <w:lang w:val="en-US" w:eastAsia="zh-CN" w:bidi="ar-SA"/>
        </w:rPr>
        <w:t>牢记全心全意为人民服务宗旨，多深入基层、一线开展调研，面对面座谈交流，及时了解群众急难愁盼问题，虚心接受群众的意见建议，站在群众立场想问题、做决策、干实事。深入了解基层工作实际和工作困难，突出问题导向、目标导向，科学决策、精准施策，推动生态环保工作取得新成效，让人民群众的获得感、幸福感、安全感更加充实、更有保障、更可持续。</w:t>
      </w:r>
    </w:p>
    <w:p>
      <w:pPr>
        <w:pStyle w:val="2"/>
        <w:keepNext w:val="0"/>
        <w:keepLines w:val="0"/>
        <w:pageBreakBefore w:val="0"/>
        <w:widowControl w:val="0"/>
        <w:numPr>
          <w:numId w:val="0"/>
        </w:numPr>
        <w:kinsoku/>
        <w:wordWrap/>
        <w:overflowPunct/>
        <w:topLinePunct w:val="0"/>
        <w:autoSpaceDE/>
        <w:autoSpaceDN/>
        <w:bidi w:val="0"/>
        <w:adjustRightInd/>
        <w:snapToGrid/>
        <w:spacing w:after="0" w:afterLines="0" w:line="600" w:lineRule="exact"/>
        <w:ind w:left="0"/>
        <w:jc w:val="both"/>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7B494"/>
    <w:multiLevelType w:val="singleLevel"/>
    <w:tmpl w:val="CC07B4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MDZlYTc3OGY1NTY0YTYzODlhZjQ2ZTFiNzUyMzgifQ=="/>
  </w:docVars>
  <w:rsids>
    <w:rsidRoot w:val="053372B9"/>
    <w:rsid w:val="053372B9"/>
    <w:rsid w:val="0A075AEF"/>
    <w:rsid w:val="0ABA047C"/>
    <w:rsid w:val="16DA0A24"/>
    <w:rsid w:val="59935783"/>
    <w:rsid w:val="67917B37"/>
    <w:rsid w:val="79A5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3"/>
    <w:basedOn w:val="1"/>
    <w:next w:val="3"/>
    <w:qFormat/>
    <w:uiPriority w:val="0"/>
    <w:pPr>
      <w:widowControl w:val="0"/>
      <w:spacing w:after="120" w:afterLines="0"/>
      <w:jc w:val="both"/>
    </w:pPr>
    <w:rPr>
      <w:rFonts w:ascii="等线" w:hAnsi="等线" w:eastAsia="等线" w:cs="Times New Roman"/>
      <w:kern w:val="2"/>
      <w:sz w:val="16"/>
      <w:szCs w:val="16"/>
      <w:lang w:val="en-US" w:eastAsia="zh-CN" w:bidi="ar-SA"/>
    </w:rPr>
  </w:style>
  <w:style w:type="paragraph" w:customStyle="1" w:styleId="3">
    <w:name w:val="Char1"/>
    <w:qFormat/>
    <w:uiPriority w:val="0"/>
    <w:pPr>
      <w:widowControl w:val="0"/>
      <w:tabs>
        <w:tab w:val="left" w:pos="840"/>
      </w:tabs>
      <w:ind w:left="840" w:hanging="420"/>
      <w:jc w:val="both"/>
    </w:pPr>
    <w:rPr>
      <w:rFonts w:ascii="Times New Roman" w:hAnsi="Times New Roman" w:eastAsia="宋体" w:cs="Times New Roman"/>
      <w:kern w:val="2"/>
      <w:sz w:val="24"/>
      <w:szCs w:val="30"/>
      <w:lang w:val="en-US" w:eastAsia="zh-CN" w:bidi="ar-SA"/>
    </w:rPr>
  </w:style>
  <w:style w:type="paragraph" w:styleId="5">
    <w:name w:val="Body Text"/>
    <w:basedOn w:val="1"/>
    <w:next w:val="1"/>
    <w:unhideWhenUsed/>
    <w:qFormat/>
    <w:uiPriority w:val="99"/>
    <w:pPr>
      <w:spacing w:after="120"/>
    </w:pPr>
    <w:rPr>
      <w:rFonts w:ascii="Times New Roman" w:hAnsi="Times New Roman" w:eastAsia="宋体" w:cs="Times New Roman"/>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paragraph" w:customStyle="1" w:styleId="11">
    <w:name w:val="NormalIndent"/>
    <w:basedOn w:val="1"/>
    <w:autoRedefine/>
    <w:qFormat/>
    <w:uiPriority w:val="0"/>
    <w:pPr>
      <w:spacing w:line="240" w:lineRule="auto"/>
      <w:ind w:firstLine="630"/>
      <w:jc w:val="both"/>
      <w:textAlignment w:val="baseline"/>
    </w:pPr>
    <w:rPr>
      <w:rFonts w:ascii="Times New Roman" w:hAnsi="Times New Roman" w:eastAsia="宋体"/>
      <w:kern w:val="0"/>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2024-01-03T02:05:00Z</dcterms:created>
  <dc:creator>Air-jc</dc:creator>
  <cp:lastModifiedBy>Air-jc</cp:lastModifiedBy>
  <dcterms:modified xsi:type="dcterms:W3CDTF">2024-01-04T08:55:54Z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74354A5DC70F421DA5F35472D8015A61_11</vt:lpwstr>
  </property>
</Properties>
</file>